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5AEA" w14:textId="3F8BAAB5" w:rsidR="005C63BE" w:rsidRPr="00D22765" w:rsidRDefault="005C63BE" w:rsidP="005C63BE">
      <w:pPr>
        <w:pStyle w:val="berschrift1"/>
        <w:tabs>
          <w:tab w:val="clear" w:pos="9000"/>
        </w:tabs>
        <w:ind w:right="-2"/>
        <w:jc w:val="both"/>
        <w:rPr>
          <w:sz w:val="37"/>
          <w:szCs w:val="37"/>
          <w:lang w:val="en-GB"/>
        </w:rPr>
      </w:pPr>
      <w:r w:rsidRPr="00D22765">
        <w:rPr>
          <w:sz w:val="34"/>
          <w:szCs w:val="34"/>
          <w:lang w:val="en-GB"/>
        </w:rPr>
        <w:t xml:space="preserve">Tourism in Salzburg City – Facts &amp; Figures </w:t>
      </w:r>
      <w:r w:rsidRPr="00D22765">
        <w:rPr>
          <w:sz w:val="37"/>
          <w:szCs w:val="37"/>
          <w:lang w:val="en-GB"/>
        </w:rPr>
        <w:t>202</w:t>
      </w:r>
      <w:r w:rsidR="00985C6A">
        <w:rPr>
          <w:sz w:val="37"/>
          <w:szCs w:val="37"/>
          <w:lang w:val="en-GB"/>
        </w:rPr>
        <w:t>2</w:t>
      </w:r>
    </w:p>
    <w:p w14:paraId="123299B4" w14:textId="77777777" w:rsidR="005C63BE" w:rsidRPr="00D22765" w:rsidRDefault="005C63BE" w:rsidP="005C63BE">
      <w:pPr>
        <w:tabs>
          <w:tab w:val="left" w:pos="1956"/>
        </w:tabs>
        <w:jc w:val="both"/>
        <w:outlineLvl w:val="0"/>
        <w:rPr>
          <w:sz w:val="31"/>
          <w:szCs w:val="31"/>
          <w:lang w:val="en-GB"/>
        </w:rPr>
      </w:pPr>
    </w:p>
    <w:p w14:paraId="3A3F47F0" w14:textId="77777777" w:rsidR="005C63BE" w:rsidRPr="00D22765" w:rsidRDefault="005C63BE" w:rsidP="005C63BE">
      <w:pPr>
        <w:jc w:val="both"/>
        <w:outlineLvl w:val="0"/>
        <w:rPr>
          <w:b/>
          <w:lang w:val="en-GB"/>
        </w:rPr>
      </w:pPr>
      <w:r w:rsidRPr="00D22765">
        <w:rPr>
          <w:b/>
          <w:lang w:val="en-GB"/>
        </w:rPr>
        <w:t>Salzburg Information</w:t>
      </w:r>
    </w:p>
    <w:p w14:paraId="28B788D9" w14:textId="41484526" w:rsidR="005C63BE" w:rsidRPr="00D22765" w:rsidRDefault="005C63BE" w:rsidP="005C63BE">
      <w:pPr>
        <w:rPr>
          <w:lang w:val="en-GB"/>
        </w:rPr>
      </w:pPr>
      <w:r w:rsidRPr="00D22765">
        <w:rPr>
          <w:lang w:val="en-GB"/>
        </w:rPr>
        <w:t>“Salzburg Information” is the name of the city’s tourist office, responsible for worldwide tourism marketing (advertising, sales promotion, information and production, press and publicity), also providing guests with direct support and information at two info</w:t>
      </w:r>
      <w:r w:rsidR="003175F9" w:rsidRPr="00D22765">
        <w:rPr>
          <w:lang w:val="en-GB"/>
        </w:rPr>
        <w:t>rmation</w:t>
      </w:r>
      <w:r w:rsidRPr="00D22765">
        <w:rPr>
          <w:lang w:val="en-GB"/>
        </w:rPr>
        <w:t xml:space="preserve"> centr</w:t>
      </w:r>
      <w:r w:rsidR="00D22765">
        <w:rPr>
          <w:lang w:val="en-GB"/>
        </w:rPr>
        <w:t>e</w:t>
      </w:r>
      <w:r w:rsidRPr="00D22765">
        <w:rPr>
          <w:lang w:val="en-GB"/>
        </w:rPr>
        <w:t xml:space="preserve">s </w:t>
      </w:r>
      <w:r w:rsidR="003175F9" w:rsidRPr="00D22765">
        <w:rPr>
          <w:lang w:val="en-GB"/>
        </w:rPr>
        <w:t>within</w:t>
      </w:r>
      <w:r w:rsidRPr="00D22765">
        <w:rPr>
          <w:lang w:val="en-GB"/>
        </w:rPr>
        <w:t xml:space="preserve"> the city. Of course, extensive service is also offered online at </w:t>
      </w:r>
      <w:r w:rsidR="00AC5E81">
        <w:fldChar w:fldCharType="begin"/>
      </w:r>
      <w:r w:rsidR="00AC5E81" w:rsidRPr="00AC5E81">
        <w:rPr>
          <w:lang w:val="en-GB"/>
        </w:rPr>
        <w:instrText>HYPERLINK "http://www.salzburg.info"</w:instrText>
      </w:r>
      <w:r w:rsidR="00AC5E81">
        <w:fldChar w:fldCharType="separate"/>
      </w:r>
      <w:r w:rsidRPr="00D22765">
        <w:rPr>
          <w:rStyle w:val="Hyperlink"/>
          <w:color w:val="auto"/>
          <w:lang w:val="en-GB"/>
        </w:rPr>
        <w:t>www.salzburg.info</w:t>
      </w:r>
      <w:r w:rsidR="00AC5E81">
        <w:rPr>
          <w:rStyle w:val="Hyperlink"/>
          <w:color w:val="auto"/>
          <w:lang w:val="en-GB"/>
        </w:rPr>
        <w:fldChar w:fldCharType="end"/>
      </w:r>
      <w:r w:rsidRPr="00D22765">
        <w:rPr>
          <w:lang w:val="en-GB"/>
        </w:rPr>
        <w:t xml:space="preserve">: hotel reservations, information about cultural events, links to all important service providers, social media, weather forecasts, webcams, photos, videos etc. </w:t>
      </w:r>
    </w:p>
    <w:p w14:paraId="2409AB53" w14:textId="77777777" w:rsidR="005C63BE" w:rsidRPr="00D22765" w:rsidRDefault="005C63BE" w:rsidP="005C63BE">
      <w:pPr>
        <w:jc w:val="both"/>
        <w:outlineLvl w:val="0"/>
        <w:rPr>
          <w:lang w:val="en-GB"/>
        </w:rPr>
      </w:pPr>
    </w:p>
    <w:p w14:paraId="78B706CC" w14:textId="39141A69" w:rsidR="000719FD" w:rsidRPr="00D22765" w:rsidRDefault="005C63BE" w:rsidP="005C63BE">
      <w:pPr>
        <w:outlineLvl w:val="0"/>
        <w:rPr>
          <w:lang w:val="en-GB"/>
        </w:rPr>
      </w:pPr>
      <w:r w:rsidRPr="00D22765">
        <w:rPr>
          <w:lang w:val="en-GB"/>
        </w:rPr>
        <w:t>Salzburg City is the capital of the Austrian province of the same name and has 15</w:t>
      </w:r>
      <w:r w:rsidR="003175F9" w:rsidRPr="00D22765">
        <w:rPr>
          <w:lang w:val="en-GB"/>
        </w:rPr>
        <w:t>8</w:t>
      </w:r>
      <w:r w:rsidRPr="00D22765">
        <w:rPr>
          <w:lang w:val="en-GB"/>
        </w:rPr>
        <w:t>,</w:t>
      </w:r>
      <w:r w:rsidR="003175F9" w:rsidRPr="00D22765">
        <w:rPr>
          <w:lang w:val="en-GB"/>
        </w:rPr>
        <w:t>884</w:t>
      </w:r>
      <w:r w:rsidRPr="00D22765">
        <w:rPr>
          <w:lang w:val="en-GB"/>
        </w:rPr>
        <w:t xml:space="preserve"> </w:t>
      </w:r>
      <w:r w:rsidR="003175F9" w:rsidRPr="00D22765">
        <w:rPr>
          <w:lang w:val="en-GB"/>
        </w:rPr>
        <w:t>inhabitants</w:t>
      </w:r>
      <w:r w:rsidRPr="00D22765">
        <w:rPr>
          <w:lang w:val="en-GB"/>
        </w:rPr>
        <w:t xml:space="preserve"> (status: 1 </w:t>
      </w:r>
      <w:r w:rsidR="003175F9" w:rsidRPr="00D22765">
        <w:rPr>
          <w:lang w:val="en-GB"/>
        </w:rPr>
        <w:t>January</w:t>
      </w:r>
      <w:r w:rsidRPr="00D22765">
        <w:rPr>
          <w:lang w:val="en-GB"/>
        </w:rPr>
        <w:t xml:space="preserve"> 202</w:t>
      </w:r>
      <w:r w:rsidR="003175F9" w:rsidRPr="00D22765">
        <w:rPr>
          <w:lang w:val="en-GB"/>
        </w:rPr>
        <w:t>3</w:t>
      </w:r>
      <w:r w:rsidRPr="00D22765">
        <w:rPr>
          <w:lang w:val="en-GB"/>
        </w:rPr>
        <w:t>). It hosts some 4500 cultural events annually with highlights includ</w:t>
      </w:r>
      <w:r w:rsidR="003175F9" w:rsidRPr="00D22765">
        <w:rPr>
          <w:lang w:val="en-GB"/>
        </w:rPr>
        <w:t>ing</w:t>
      </w:r>
      <w:r w:rsidRPr="00D22765">
        <w:rPr>
          <w:lang w:val="en-GB"/>
        </w:rPr>
        <w:t xml:space="preserve"> </w:t>
      </w:r>
      <w:r w:rsidR="003175F9" w:rsidRPr="00D22765">
        <w:rPr>
          <w:lang w:val="en-GB"/>
        </w:rPr>
        <w:t xml:space="preserve">the </w:t>
      </w:r>
      <w:r w:rsidRPr="00D22765">
        <w:rPr>
          <w:lang w:val="en-GB"/>
        </w:rPr>
        <w:t xml:space="preserve">Mozart Week, Easter Festival, Whitsun Festival, Summer Festival, </w:t>
      </w:r>
      <w:proofErr w:type="spellStart"/>
      <w:r w:rsidRPr="00D22765">
        <w:rPr>
          <w:i/>
          <w:iCs/>
          <w:lang w:val="en-GB"/>
        </w:rPr>
        <w:t>So</w:t>
      </w:r>
      <w:r w:rsidR="003175F9" w:rsidRPr="00D22765">
        <w:rPr>
          <w:i/>
          <w:iCs/>
          <w:lang w:val="en-GB"/>
        </w:rPr>
        <w:t>m</w:t>
      </w:r>
      <w:r w:rsidRPr="00D22765">
        <w:rPr>
          <w:i/>
          <w:iCs/>
          <w:lang w:val="en-GB"/>
        </w:rPr>
        <w:t>merszene</w:t>
      </w:r>
      <w:proofErr w:type="spellEnd"/>
      <w:r w:rsidRPr="00D22765">
        <w:rPr>
          <w:lang w:val="en-GB"/>
        </w:rPr>
        <w:t xml:space="preserve">, as well as </w:t>
      </w:r>
      <w:proofErr w:type="spellStart"/>
      <w:r w:rsidRPr="00D22765">
        <w:rPr>
          <w:i/>
          <w:iCs/>
          <w:lang w:val="en-GB"/>
        </w:rPr>
        <w:t>Kulturtage</w:t>
      </w:r>
      <w:proofErr w:type="spellEnd"/>
      <w:r w:rsidRPr="00D22765">
        <w:rPr>
          <w:lang w:val="en-GB"/>
        </w:rPr>
        <w:t xml:space="preserve"> in autumn and </w:t>
      </w:r>
      <w:r w:rsidR="003175F9" w:rsidRPr="00D22765">
        <w:rPr>
          <w:lang w:val="en-GB"/>
        </w:rPr>
        <w:t>various</w:t>
      </w:r>
      <w:r w:rsidRPr="00D22765">
        <w:rPr>
          <w:lang w:val="en-GB"/>
        </w:rPr>
        <w:t xml:space="preserve"> programs during the run-up to Christmas including </w:t>
      </w:r>
      <w:proofErr w:type="spellStart"/>
      <w:r w:rsidRPr="00D22765">
        <w:rPr>
          <w:i/>
          <w:iCs/>
          <w:lang w:val="en-GB"/>
        </w:rPr>
        <w:t>Advent</w:t>
      </w:r>
      <w:r w:rsidR="003175F9" w:rsidRPr="00D22765">
        <w:rPr>
          <w:i/>
          <w:iCs/>
          <w:lang w:val="en-GB"/>
        </w:rPr>
        <w:t>singen</w:t>
      </w:r>
      <w:proofErr w:type="spellEnd"/>
      <w:r w:rsidRPr="00D22765">
        <w:rPr>
          <w:lang w:val="en-GB"/>
        </w:rPr>
        <w:t>. Salzburg is one of Austria’s top two destinations for city tourism, second only to Vienna, and has been a proud member of the UNESCO World Heritage List since 1997</w:t>
      </w:r>
      <w:r w:rsidR="000719FD" w:rsidRPr="00D22765">
        <w:rPr>
          <w:lang w:val="en-GB"/>
        </w:rPr>
        <w:t>.</w:t>
      </w:r>
    </w:p>
    <w:p w14:paraId="208CAACF" w14:textId="77777777" w:rsidR="000719FD" w:rsidRPr="00D22765" w:rsidRDefault="000719FD" w:rsidP="003A1318">
      <w:pPr>
        <w:jc w:val="both"/>
        <w:rPr>
          <w:lang w:val="en-GB"/>
        </w:rPr>
      </w:pPr>
    </w:p>
    <w:p w14:paraId="7AA65887" w14:textId="2EFA800B" w:rsidR="003175F9" w:rsidRPr="00D22765" w:rsidRDefault="005C63BE" w:rsidP="003175F9">
      <w:pPr>
        <w:rPr>
          <w:lang w:val="en-GB"/>
        </w:rPr>
      </w:pPr>
      <w:r w:rsidRPr="00D22765">
        <w:rPr>
          <w:lang w:val="en-GB"/>
        </w:rPr>
        <w:t xml:space="preserve">Salzburg’s unique selling points include Mozart, </w:t>
      </w:r>
      <w:r w:rsidRPr="00D22765">
        <w:rPr>
          <w:i/>
          <w:iCs/>
          <w:lang w:val="en-GB"/>
        </w:rPr>
        <w:t>The Sound of Music</w:t>
      </w:r>
      <w:r w:rsidRPr="00D22765">
        <w:rPr>
          <w:lang w:val="en-GB"/>
        </w:rPr>
        <w:t xml:space="preserve">, Advent including </w:t>
      </w:r>
      <w:r w:rsidRPr="00D22765">
        <w:rPr>
          <w:i/>
          <w:iCs/>
          <w:lang w:val="en-GB"/>
        </w:rPr>
        <w:t>Silent Night</w:t>
      </w:r>
      <w:r w:rsidRPr="00D22765">
        <w:rPr>
          <w:lang w:val="en-GB"/>
        </w:rPr>
        <w:t xml:space="preserve">, the Salzburg Festival and the UNESCO-listed historic </w:t>
      </w:r>
      <w:r w:rsidR="003175F9" w:rsidRPr="00D22765">
        <w:rPr>
          <w:lang w:val="en-GB"/>
        </w:rPr>
        <w:t xml:space="preserve">Baroque </w:t>
      </w:r>
      <w:r w:rsidRPr="00D22765">
        <w:rPr>
          <w:lang w:val="en-GB"/>
        </w:rPr>
        <w:t>district</w:t>
      </w:r>
      <w:r w:rsidR="009F27D8" w:rsidRPr="00D22765">
        <w:rPr>
          <w:lang w:val="en-GB"/>
        </w:rPr>
        <w:t>.</w:t>
      </w:r>
      <w:r w:rsidR="0088313E" w:rsidRPr="00D22765">
        <w:rPr>
          <w:lang w:val="en-GB"/>
        </w:rPr>
        <w:t xml:space="preserve"> </w:t>
      </w:r>
      <w:r w:rsidR="003175F9" w:rsidRPr="00D22765">
        <w:rPr>
          <w:lang w:val="en-GB"/>
        </w:rPr>
        <w:t xml:space="preserve">A closer look at the many international awards bears witness to the charisma of the Salzburg brand. In 2022 - as in previous years – the city of Mozart scored points in the Condé Nast </w:t>
      </w:r>
      <w:proofErr w:type="spellStart"/>
      <w:r w:rsidR="003175F9" w:rsidRPr="00D22765">
        <w:rPr>
          <w:lang w:val="en-GB"/>
        </w:rPr>
        <w:t>Traveler</w:t>
      </w:r>
      <w:proofErr w:type="spellEnd"/>
      <w:r w:rsidR="003175F9" w:rsidRPr="00D22765">
        <w:rPr>
          <w:lang w:val="en-GB"/>
        </w:rPr>
        <w:t xml:space="preserve"> Readers' Choice Award and was voted No. 5 of the </w:t>
      </w:r>
      <w:r w:rsidR="003175F9" w:rsidRPr="00D22765">
        <w:rPr>
          <w:i/>
          <w:iCs/>
          <w:lang w:val="en-GB"/>
        </w:rPr>
        <w:t>Best Small Cities in the World</w:t>
      </w:r>
      <w:r w:rsidR="003175F9" w:rsidRPr="00D22765">
        <w:rPr>
          <w:lang w:val="en-GB"/>
        </w:rPr>
        <w:t xml:space="preserve">. With the Christmas market at the </w:t>
      </w:r>
      <w:proofErr w:type="spellStart"/>
      <w:r w:rsidR="003175F9" w:rsidRPr="00D22765">
        <w:rPr>
          <w:lang w:val="en-GB"/>
        </w:rPr>
        <w:t>Domplatz</w:t>
      </w:r>
      <w:proofErr w:type="spellEnd"/>
      <w:r w:rsidR="003175F9" w:rsidRPr="00D22765">
        <w:rPr>
          <w:lang w:val="en-GB"/>
        </w:rPr>
        <w:t xml:space="preserve"> and </w:t>
      </w:r>
      <w:proofErr w:type="spellStart"/>
      <w:r w:rsidR="003175F9" w:rsidRPr="00D22765">
        <w:rPr>
          <w:lang w:val="en-GB"/>
        </w:rPr>
        <w:t>Residenplatz</w:t>
      </w:r>
      <w:proofErr w:type="spellEnd"/>
      <w:r w:rsidR="003175F9" w:rsidRPr="00D22765">
        <w:rPr>
          <w:lang w:val="en-GB"/>
        </w:rPr>
        <w:t xml:space="preserve"> as its flagship, Salzburg is one of the 15 most beautiful Christmas destinations in the world, according to CNN.</w:t>
      </w:r>
    </w:p>
    <w:p w14:paraId="5285E97A" w14:textId="224576B5" w:rsidR="003175F9" w:rsidRPr="00D22765" w:rsidRDefault="003175F9" w:rsidP="00F119EF">
      <w:pPr>
        <w:rPr>
          <w:lang w:val="en-GB"/>
        </w:rPr>
      </w:pPr>
    </w:p>
    <w:p w14:paraId="75958187" w14:textId="03972164" w:rsidR="000F7442" w:rsidRPr="00D22765" w:rsidRDefault="000F7442" w:rsidP="00F119EF">
      <w:pPr>
        <w:rPr>
          <w:lang w:val="en-GB"/>
        </w:rPr>
      </w:pPr>
    </w:p>
    <w:p w14:paraId="46FFC98D" w14:textId="6F1EAD9A" w:rsidR="0002215B" w:rsidRPr="00D22765" w:rsidRDefault="0002215B" w:rsidP="0002215B">
      <w:pPr>
        <w:rPr>
          <w:b/>
          <w:lang w:val="en-GB"/>
        </w:rPr>
      </w:pPr>
      <w:bookmarkStart w:id="0" w:name="_Hlk93906917"/>
      <w:r w:rsidRPr="00D22765">
        <w:rPr>
          <w:b/>
          <w:lang w:val="en-GB"/>
        </w:rPr>
        <w:t xml:space="preserve">Visitor flow management as an additional </w:t>
      </w:r>
      <w:r w:rsidR="004A2EE1" w:rsidRPr="00D22765">
        <w:rPr>
          <w:b/>
          <w:lang w:val="en-GB"/>
        </w:rPr>
        <w:t>task</w:t>
      </w:r>
      <w:r w:rsidRPr="00D22765">
        <w:rPr>
          <w:b/>
          <w:lang w:val="en-GB"/>
        </w:rPr>
        <w:t xml:space="preserve"> of TSG</w:t>
      </w:r>
    </w:p>
    <w:p w14:paraId="7EB13452" w14:textId="77777777" w:rsidR="0022003A" w:rsidRPr="00D22765" w:rsidRDefault="0002215B" w:rsidP="0022003A">
      <w:pPr>
        <w:rPr>
          <w:lang w:val="en-GB"/>
        </w:rPr>
      </w:pPr>
      <w:proofErr w:type="spellStart"/>
      <w:r w:rsidRPr="00D22765">
        <w:rPr>
          <w:lang w:val="en-GB"/>
        </w:rPr>
        <w:t>Tourismus</w:t>
      </w:r>
      <w:proofErr w:type="spellEnd"/>
      <w:r w:rsidRPr="00D22765">
        <w:rPr>
          <w:lang w:val="en-GB"/>
        </w:rPr>
        <w:t xml:space="preserve"> Salzburg GmbH (TSG) has also been tasked with active visitor flow </w:t>
      </w:r>
      <w:r w:rsidR="00D11174" w:rsidRPr="00D22765">
        <w:rPr>
          <w:lang w:val="en-GB"/>
        </w:rPr>
        <w:t>management</w:t>
      </w:r>
      <w:r w:rsidRPr="00D22765">
        <w:rPr>
          <w:lang w:val="en-GB"/>
        </w:rPr>
        <w:t xml:space="preserve"> on behalf of the </w:t>
      </w:r>
      <w:r w:rsidR="00884F22" w:rsidRPr="00D22765">
        <w:rPr>
          <w:lang w:val="en-GB"/>
        </w:rPr>
        <w:t>municipality</w:t>
      </w:r>
      <w:r w:rsidRPr="00D22765">
        <w:rPr>
          <w:lang w:val="en-GB"/>
        </w:rPr>
        <w:t xml:space="preserve"> of Salzburg. One of the working goals is to utilize data-based simulation models </w:t>
      </w:r>
      <w:proofErr w:type="gramStart"/>
      <w:r w:rsidRPr="00D22765">
        <w:rPr>
          <w:lang w:val="en-GB"/>
        </w:rPr>
        <w:t>in order to</w:t>
      </w:r>
      <w:proofErr w:type="gramEnd"/>
      <w:r w:rsidRPr="00D22765">
        <w:rPr>
          <w:lang w:val="en-GB"/>
        </w:rPr>
        <w:t xml:space="preserve"> develop and evaluate effective measures to manage the </w:t>
      </w:r>
      <w:r w:rsidR="0022003A" w:rsidRPr="00D22765">
        <w:rPr>
          <w:lang w:val="en-GB"/>
        </w:rPr>
        <w:t>flow</w:t>
      </w:r>
      <w:r w:rsidRPr="00D22765">
        <w:rPr>
          <w:lang w:val="en-GB"/>
        </w:rPr>
        <w:t xml:space="preserve"> of visitors. </w:t>
      </w:r>
      <w:r w:rsidR="0022003A" w:rsidRPr="00D22765">
        <w:rPr>
          <w:lang w:val="en-GB"/>
        </w:rPr>
        <w:t>In 2022, various counting sensors were tested on both sides of the Old Town and the results evaluated. Since the second quarter of 2022, data has been collected at neuralgic points and linked to other tourism indicators in a dashboard. This allows for the identification of peak densities and the derivation of suitable measures. In 2023, formulated measures will be tested for suitability in a simulation tool. The most efficient and economical interventions will be proposed to the city of Salzburg for implementation.</w:t>
      </w:r>
    </w:p>
    <w:p w14:paraId="6F31328F" w14:textId="77777777" w:rsidR="0022003A" w:rsidRPr="00D22765" w:rsidRDefault="0022003A" w:rsidP="0022003A">
      <w:pPr>
        <w:rPr>
          <w:lang w:val="en-GB"/>
        </w:rPr>
      </w:pPr>
    </w:p>
    <w:bookmarkEnd w:id="0"/>
    <w:p w14:paraId="70911198" w14:textId="182A1975" w:rsidR="0022003A" w:rsidRPr="00D22765" w:rsidRDefault="0022003A" w:rsidP="0022003A">
      <w:pPr>
        <w:rPr>
          <w:lang w:val="en-GB"/>
        </w:rPr>
      </w:pPr>
      <w:r w:rsidRPr="00D22765">
        <w:rPr>
          <w:lang w:val="en-GB"/>
        </w:rPr>
        <w:t>In the summer months of July and August, an Old Town shuttle is operated to ease traffic - a direct connection from the P+R Messe to the city centre. The city walks, which cover the existing themes of beer culture, church city, city mountains, creative and Instagrammable Salzburg, Festival, Advent and – on the 25th anniversary as a UNESCO World Heritage Site – also provide incentives to spread the word.</w:t>
      </w:r>
    </w:p>
    <w:p w14:paraId="725DBFCD" w14:textId="77777777" w:rsidR="0022003A" w:rsidRPr="00D22765" w:rsidRDefault="0022003A" w:rsidP="003A1318">
      <w:pPr>
        <w:jc w:val="both"/>
        <w:outlineLvl w:val="0"/>
        <w:rPr>
          <w:lang w:val="en-GB"/>
        </w:rPr>
      </w:pPr>
    </w:p>
    <w:p w14:paraId="784D20BB" w14:textId="77777777" w:rsidR="0022003A" w:rsidRPr="00D22765" w:rsidRDefault="0022003A" w:rsidP="003A1318">
      <w:pPr>
        <w:jc w:val="both"/>
        <w:outlineLvl w:val="0"/>
        <w:rPr>
          <w:lang w:val="en-GB"/>
        </w:rPr>
      </w:pPr>
    </w:p>
    <w:p w14:paraId="7E8D92F7" w14:textId="3D3719FF" w:rsidR="000719FD" w:rsidRPr="00D22765" w:rsidRDefault="00672732" w:rsidP="003A1318">
      <w:pPr>
        <w:jc w:val="both"/>
        <w:outlineLvl w:val="0"/>
        <w:rPr>
          <w:b/>
          <w:lang w:val="en-GB"/>
        </w:rPr>
      </w:pPr>
      <w:r w:rsidRPr="00D22765">
        <w:rPr>
          <w:b/>
          <w:lang w:val="en-GB"/>
        </w:rPr>
        <w:lastRenderedPageBreak/>
        <w:t xml:space="preserve">Guest arrivals and Overnights </w:t>
      </w:r>
      <w:r w:rsidR="00B3066F" w:rsidRPr="00D22765">
        <w:rPr>
          <w:b/>
          <w:lang w:val="en-GB"/>
        </w:rPr>
        <w:t>20</w:t>
      </w:r>
      <w:r w:rsidR="00A004F1" w:rsidRPr="00D22765">
        <w:rPr>
          <w:b/>
          <w:lang w:val="en-GB"/>
        </w:rPr>
        <w:t>2</w:t>
      </w:r>
      <w:r w:rsidR="00985C6A">
        <w:rPr>
          <w:b/>
          <w:lang w:val="en-GB"/>
        </w:rPr>
        <w:t>2</w:t>
      </w:r>
    </w:p>
    <w:p w14:paraId="389FBCEB" w14:textId="1BD16ED6" w:rsidR="000719FD" w:rsidRPr="00D22765" w:rsidRDefault="00672732" w:rsidP="003A1318">
      <w:pPr>
        <w:jc w:val="both"/>
        <w:rPr>
          <w:bCs/>
          <w:lang w:val="en-GB"/>
        </w:rPr>
      </w:pPr>
      <w:r w:rsidRPr="00D22765">
        <w:rPr>
          <w:lang w:val="en-GB"/>
        </w:rPr>
        <w:t>Total arrivals</w:t>
      </w:r>
      <w:r w:rsidR="000719FD" w:rsidRPr="00D22765">
        <w:rPr>
          <w:lang w:val="en-GB"/>
        </w:rPr>
        <w:t xml:space="preserve">: </w:t>
      </w:r>
      <w:r w:rsidR="0022003A" w:rsidRPr="00D22765">
        <w:rPr>
          <w:lang w:val="en-GB"/>
        </w:rPr>
        <w:t>1.439.095 (2021: 714.802 and 2019: 1.909.970)</w:t>
      </w:r>
      <w:r w:rsidR="000719FD" w:rsidRPr="00D22765">
        <w:rPr>
          <w:lang w:val="en-GB"/>
        </w:rPr>
        <w:t xml:space="preserve"> </w:t>
      </w:r>
    </w:p>
    <w:p w14:paraId="631F63BA" w14:textId="6BF2ED8A" w:rsidR="000719FD" w:rsidRPr="00D22765" w:rsidRDefault="00672732" w:rsidP="003A1318">
      <w:pPr>
        <w:jc w:val="both"/>
        <w:rPr>
          <w:lang w:val="en-GB"/>
        </w:rPr>
      </w:pPr>
      <w:r w:rsidRPr="00D22765">
        <w:rPr>
          <w:lang w:val="en-GB"/>
        </w:rPr>
        <w:t>Arrivals</w:t>
      </w:r>
      <w:r w:rsidR="004127AB" w:rsidRPr="00D22765">
        <w:rPr>
          <w:lang w:val="en-GB"/>
        </w:rPr>
        <w:t xml:space="preserve">: </w:t>
      </w:r>
      <w:r w:rsidR="001865DC" w:rsidRPr="00D22765">
        <w:rPr>
          <w:lang w:val="en-GB"/>
        </w:rPr>
        <w:t xml:space="preserve">+100,58 % </w:t>
      </w:r>
      <w:r w:rsidRPr="00D22765">
        <w:rPr>
          <w:lang w:val="en-GB"/>
        </w:rPr>
        <w:t>compared with</w:t>
      </w:r>
      <w:r w:rsidR="00B3066F" w:rsidRPr="00D22765">
        <w:rPr>
          <w:lang w:val="en-GB"/>
        </w:rPr>
        <w:t xml:space="preserve"> </w:t>
      </w:r>
      <w:r w:rsidR="001865DC" w:rsidRPr="00D22765">
        <w:rPr>
          <w:lang w:val="en-GB"/>
        </w:rPr>
        <w:t>2021 and -24,65 % compared with 2019</w:t>
      </w:r>
    </w:p>
    <w:p w14:paraId="4641C70A" w14:textId="32BC0BDC" w:rsidR="000719FD" w:rsidRPr="00D22765" w:rsidRDefault="00672732" w:rsidP="003A1318">
      <w:pPr>
        <w:jc w:val="both"/>
        <w:rPr>
          <w:lang w:val="en-GB"/>
        </w:rPr>
      </w:pPr>
      <w:r w:rsidRPr="00D22765">
        <w:rPr>
          <w:lang w:val="en-GB"/>
        </w:rPr>
        <w:t>Total overnight</w:t>
      </w:r>
      <w:r w:rsidR="001865DC" w:rsidRPr="00D22765">
        <w:rPr>
          <w:lang w:val="en-GB"/>
        </w:rPr>
        <w:t xml:space="preserve"> stays</w:t>
      </w:r>
      <w:r w:rsidR="004127AB" w:rsidRPr="00D22765">
        <w:rPr>
          <w:lang w:val="en-GB"/>
        </w:rPr>
        <w:t xml:space="preserve">: </w:t>
      </w:r>
      <w:r w:rsidR="001865DC" w:rsidRPr="00D22765">
        <w:rPr>
          <w:lang w:val="en-GB"/>
        </w:rPr>
        <w:t>2.630.189 (2021: 1.320.204 and 2019: 3.308.801)</w:t>
      </w:r>
      <w:r w:rsidR="000719FD" w:rsidRPr="00D22765">
        <w:rPr>
          <w:lang w:val="en-GB"/>
        </w:rPr>
        <w:t xml:space="preserve"> </w:t>
      </w:r>
      <w:r w:rsidR="000719FD" w:rsidRPr="00D22765">
        <w:rPr>
          <w:bCs/>
          <w:lang w:val="en-GB"/>
        </w:rPr>
        <w:t xml:space="preserve"> </w:t>
      </w:r>
    </w:p>
    <w:p w14:paraId="647D96C2" w14:textId="4BEE3D25" w:rsidR="000719FD" w:rsidRPr="00D22765" w:rsidRDefault="00672732" w:rsidP="003A1318">
      <w:pPr>
        <w:jc w:val="both"/>
        <w:rPr>
          <w:lang w:val="en-GB"/>
        </w:rPr>
      </w:pPr>
      <w:r w:rsidRPr="00D22765">
        <w:rPr>
          <w:lang w:val="en-GB"/>
        </w:rPr>
        <w:t>Overnight</w:t>
      </w:r>
      <w:r w:rsidR="001865DC" w:rsidRPr="00D22765">
        <w:rPr>
          <w:lang w:val="en-GB"/>
        </w:rPr>
        <w:t xml:space="preserve"> stays</w:t>
      </w:r>
      <w:r w:rsidR="003041BE" w:rsidRPr="00D22765">
        <w:rPr>
          <w:lang w:val="en-GB"/>
        </w:rPr>
        <w:t xml:space="preserve">: </w:t>
      </w:r>
      <w:r w:rsidR="001865DC" w:rsidRPr="00D22765">
        <w:rPr>
          <w:lang w:val="en-GB"/>
        </w:rPr>
        <w:t xml:space="preserve">+98,47 % compared with 2021 and -20,51 % compared with </w:t>
      </w:r>
      <w:proofErr w:type="gramStart"/>
      <w:r w:rsidR="001865DC" w:rsidRPr="00D22765">
        <w:rPr>
          <w:lang w:val="en-GB"/>
        </w:rPr>
        <w:t>2019</w:t>
      </w:r>
      <w:proofErr w:type="gramEnd"/>
    </w:p>
    <w:p w14:paraId="410D7F4C" w14:textId="77777777" w:rsidR="000719FD" w:rsidRPr="00D22765" w:rsidRDefault="000719FD" w:rsidP="003A1318">
      <w:pPr>
        <w:jc w:val="both"/>
        <w:outlineLvl w:val="0"/>
        <w:rPr>
          <w:lang w:val="en-GB"/>
        </w:rPr>
      </w:pPr>
    </w:p>
    <w:p w14:paraId="31ADB06D" w14:textId="7E44EE26" w:rsidR="00CE0B72" w:rsidRPr="00D22765" w:rsidRDefault="00CE0B72" w:rsidP="003C51C1">
      <w:pPr>
        <w:rPr>
          <w:highlight w:val="yellow"/>
          <w:lang w:val="en-GB"/>
        </w:rPr>
      </w:pPr>
    </w:p>
    <w:p w14:paraId="62EDF295" w14:textId="3CDB1E97" w:rsidR="00B1123A" w:rsidRPr="00D22765" w:rsidRDefault="003769D4" w:rsidP="00B1123A">
      <w:pPr>
        <w:jc w:val="both"/>
        <w:rPr>
          <w:b/>
          <w:lang w:val="en-GB"/>
        </w:rPr>
      </w:pPr>
      <w:r w:rsidRPr="00D22765">
        <w:rPr>
          <w:b/>
          <w:lang w:val="en-GB"/>
        </w:rPr>
        <w:t>Share of total overnight</w:t>
      </w:r>
      <w:r w:rsidR="001865DC" w:rsidRPr="00D22765">
        <w:rPr>
          <w:b/>
          <w:lang w:val="en-GB"/>
        </w:rPr>
        <w:t xml:space="preserve"> </w:t>
      </w:r>
      <w:r w:rsidRPr="00D22765">
        <w:rPr>
          <w:b/>
          <w:lang w:val="en-GB"/>
        </w:rPr>
        <w:t>s</w:t>
      </w:r>
      <w:r w:rsidR="001865DC" w:rsidRPr="00D22765">
        <w:rPr>
          <w:b/>
          <w:lang w:val="en-GB"/>
        </w:rPr>
        <w:t>tays</w:t>
      </w:r>
      <w:r w:rsidRPr="00D22765">
        <w:rPr>
          <w:b/>
          <w:lang w:val="en-GB"/>
        </w:rPr>
        <w:t xml:space="preserve"> for the 10 </w:t>
      </w:r>
      <w:r w:rsidR="001865DC" w:rsidRPr="00D22765">
        <w:rPr>
          <w:b/>
          <w:lang w:val="en-GB"/>
        </w:rPr>
        <w:t>largest</w:t>
      </w:r>
      <w:r w:rsidR="00262053" w:rsidRPr="00D22765">
        <w:rPr>
          <w:b/>
          <w:lang w:val="en-GB"/>
        </w:rPr>
        <w:t xml:space="preserve"> countries of</w:t>
      </w:r>
      <w:r w:rsidRPr="00D22765">
        <w:rPr>
          <w:b/>
          <w:lang w:val="en-GB"/>
        </w:rPr>
        <w:t xml:space="preserve"> origin</w:t>
      </w:r>
    </w:p>
    <w:p w14:paraId="3EDE21CC" w14:textId="77777777" w:rsidR="00C510CC" w:rsidRPr="00D22765" w:rsidRDefault="00C510CC" w:rsidP="003A1318">
      <w:pPr>
        <w:jc w:val="both"/>
        <w:rPr>
          <w:b/>
          <w:lang w:val="en-GB"/>
        </w:rPr>
      </w:pPr>
    </w:p>
    <w:tbl>
      <w:tblPr>
        <w:tblW w:w="9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275"/>
        <w:gridCol w:w="1021"/>
        <w:gridCol w:w="2381"/>
        <w:gridCol w:w="1276"/>
        <w:gridCol w:w="960"/>
      </w:tblGrid>
      <w:tr w:rsidR="0006543A" w:rsidRPr="00D22765" w14:paraId="699F08B6" w14:textId="77777777" w:rsidTr="00807EC3">
        <w:trPr>
          <w:trHeight w:val="418"/>
        </w:trPr>
        <w:tc>
          <w:tcPr>
            <w:tcW w:w="2307" w:type="dxa"/>
            <w:tcBorders>
              <w:bottom w:val="single" w:sz="4" w:space="0" w:color="auto"/>
            </w:tcBorders>
            <w:shd w:val="clear" w:color="auto" w:fill="D9D9D9"/>
          </w:tcPr>
          <w:p w14:paraId="6AC35205" w14:textId="4DA79CAB" w:rsidR="0006543A" w:rsidRPr="00D22765" w:rsidRDefault="0006543A" w:rsidP="0006543A">
            <w:pPr>
              <w:spacing w:before="120"/>
              <w:jc w:val="both"/>
              <w:rPr>
                <w:b/>
                <w:lang w:val="en-GB"/>
              </w:rPr>
            </w:pPr>
            <w:r w:rsidRPr="00D22765">
              <w:rPr>
                <w:b/>
                <w:lang w:val="en-GB"/>
              </w:rPr>
              <w:t>20</w:t>
            </w:r>
            <w:r w:rsidR="00A004F1" w:rsidRPr="00D22765">
              <w:rPr>
                <w:b/>
                <w:lang w:val="en-GB"/>
              </w:rPr>
              <w:t>2</w:t>
            </w:r>
            <w:r w:rsidR="001200E2" w:rsidRPr="00D22765">
              <w:rPr>
                <w:b/>
                <w:lang w:val="en-GB"/>
              </w:rPr>
              <w:t>2</w:t>
            </w:r>
          </w:p>
        </w:tc>
        <w:tc>
          <w:tcPr>
            <w:tcW w:w="1275" w:type="dxa"/>
            <w:tcBorders>
              <w:bottom w:val="single" w:sz="4" w:space="0" w:color="auto"/>
            </w:tcBorders>
            <w:shd w:val="clear" w:color="auto" w:fill="D9D9D9"/>
          </w:tcPr>
          <w:p w14:paraId="622E6B85" w14:textId="71195A1B" w:rsidR="0006543A" w:rsidRPr="00D22765" w:rsidRDefault="0006543A" w:rsidP="0006543A">
            <w:pPr>
              <w:spacing w:before="120"/>
              <w:jc w:val="both"/>
              <w:rPr>
                <w:b/>
                <w:lang w:val="en-GB"/>
              </w:rPr>
            </w:pPr>
            <w:r w:rsidRPr="00D22765">
              <w:rPr>
                <w:b/>
                <w:lang w:val="en-GB"/>
              </w:rPr>
              <w:t>absolut</w:t>
            </w:r>
            <w:r w:rsidR="003769D4" w:rsidRPr="00D22765">
              <w:rPr>
                <w:b/>
                <w:lang w:val="en-GB"/>
              </w:rPr>
              <w:t>e</w:t>
            </w:r>
          </w:p>
        </w:tc>
        <w:tc>
          <w:tcPr>
            <w:tcW w:w="1021" w:type="dxa"/>
            <w:tcBorders>
              <w:bottom w:val="single" w:sz="4" w:space="0" w:color="auto"/>
            </w:tcBorders>
            <w:shd w:val="clear" w:color="auto" w:fill="D9D9D9"/>
          </w:tcPr>
          <w:p w14:paraId="29DFC820" w14:textId="71B94EA1" w:rsidR="0006543A" w:rsidRPr="00D22765" w:rsidRDefault="003769D4" w:rsidP="0006543A">
            <w:pPr>
              <w:spacing w:before="120"/>
              <w:jc w:val="both"/>
              <w:rPr>
                <w:b/>
                <w:lang w:val="en-GB"/>
              </w:rPr>
            </w:pPr>
            <w:r w:rsidRPr="00D22765">
              <w:rPr>
                <w:b/>
                <w:lang w:val="en-GB"/>
              </w:rPr>
              <w:t>share</w:t>
            </w:r>
            <w:r w:rsidR="0006543A" w:rsidRPr="00D22765">
              <w:rPr>
                <w:b/>
                <w:lang w:val="en-GB"/>
              </w:rPr>
              <w:t xml:space="preserve"> in %</w:t>
            </w:r>
          </w:p>
        </w:tc>
        <w:tc>
          <w:tcPr>
            <w:tcW w:w="2381" w:type="dxa"/>
            <w:tcBorders>
              <w:bottom w:val="single" w:sz="4" w:space="0" w:color="auto"/>
            </w:tcBorders>
            <w:shd w:val="clear" w:color="auto" w:fill="D9D9D9"/>
          </w:tcPr>
          <w:p w14:paraId="090D424E" w14:textId="07CA6157" w:rsidR="0006543A" w:rsidRPr="00D22765" w:rsidRDefault="0006543A" w:rsidP="0006543A">
            <w:pPr>
              <w:spacing w:before="120"/>
              <w:jc w:val="both"/>
              <w:rPr>
                <w:b/>
                <w:lang w:val="en-GB"/>
              </w:rPr>
            </w:pPr>
            <w:r w:rsidRPr="00D22765">
              <w:rPr>
                <w:b/>
                <w:lang w:val="en-GB"/>
              </w:rPr>
              <w:t>20</w:t>
            </w:r>
            <w:r w:rsidR="001200E2" w:rsidRPr="00D22765">
              <w:rPr>
                <w:b/>
                <w:lang w:val="en-GB"/>
              </w:rPr>
              <w:t>21</w:t>
            </w:r>
          </w:p>
        </w:tc>
        <w:tc>
          <w:tcPr>
            <w:tcW w:w="1276" w:type="dxa"/>
            <w:tcBorders>
              <w:bottom w:val="single" w:sz="4" w:space="0" w:color="auto"/>
            </w:tcBorders>
            <w:shd w:val="clear" w:color="auto" w:fill="D9D9D9"/>
          </w:tcPr>
          <w:p w14:paraId="5CB5532C" w14:textId="6D0A73FE" w:rsidR="0006543A" w:rsidRPr="00D22765" w:rsidRDefault="0006543A" w:rsidP="0006543A">
            <w:pPr>
              <w:spacing w:before="120"/>
              <w:jc w:val="both"/>
              <w:rPr>
                <w:b/>
                <w:lang w:val="en-GB"/>
              </w:rPr>
            </w:pPr>
            <w:r w:rsidRPr="00D22765">
              <w:rPr>
                <w:b/>
                <w:lang w:val="en-GB"/>
              </w:rPr>
              <w:t>absolut</w:t>
            </w:r>
            <w:r w:rsidR="003769D4" w:rsidRPr="00D22765">
              <w:rPr>
                <w:b/>
                <w:lang w:val="en-GB"/>
              </w:rPr>
              <w:t>e</w:t>
            </w:r>
          </w:p>
        </w:tc>
        <w:tc>
          <w:tcPr>
            <w:tcW w:w="960" w:type="dxa"/>
            <w:tcBorders>
              <w:bottom w:val="single" w:sz="4" w:space="0" w:color="auto"/>
            </w:tcBorders>
            <w:shd w:val="clear" w:color="auto" w:fill="D9D9D9"/>
          </w:tcPr>
          <w:p w14:paraId="3344989A" w14:textId="08598440" w:rsidR="0006543A" w:rsidRPr="00D22765" w:rsidRDefault="003769D4" w:rsidP="0006543A">
            <w:pPr>
              <w:spacing w:before="120"/>
              <w:jc w:val="both"/>
              <w:rPr>
                <w:b/>
                <w:lang w:val="en-GB"/>
              </w:rPr>
            </w:pPr>
            <w:r w:rsidRPr="00D22765">
              <w:rPr>
                <w:b/>
                <w:lang w:val="en-GB"/>
              </w:rPr>
              <w:t>share</w:t>
            </w:r>
            <w:r w:rsidR="0006543A" w:rsidRPr="00D22765">
              <w:rPr>
                <w:b/>
                <w:lang w:val="en-GB"/>
              </w:rPr>
              <w:t xml:space="preserve"> in %</w:t>
            </w:r>
          </w:p>
        </w:tc>
      </w:tr>
      <w:tr w:rsidR="0006543A" w:rsidRPr="00D22765" w14:paraId="726537BB" w14:textId="77777777" w:rsidTr="00807EC3">
        <w:trPr>
          <w:trHeight w:val="418"/>
        </w:trPr>
        <w:tc>
          <w:tcPr>
            <w:tcW w:w="2307" w:type="dxa"/>
            <w:tcBorders>
              <w:bottom w:val="nil"/>
            </w:tcBorders>
            <w:shd w:val="clear" w:color="auto" w:fill="FFFFFF"/>
          </w:tcPr>
          <w:p w14:paraId="151E13DF" w14:textId="77777777" w:rsidR="0006543A" w:rsidRPr="00D22765" w:rsidRDefault="0006543A" w:rsidP="0006543A">
            <w:pPr>
              <w:spacing w:before="120"/>
              <w:jc w:val="both"/>
              <w:rPr>
                <w:b/>
                <w:lang w:val="en-GB"/>
              </w:rPr>
            </w:pPr>
          </w:p>
        </w:tc>
        <w:tc>
          <w:tcPr>
            <w:tcW w:w="1275" w:type="dxa"/>
            <w:tcBorders>
              <w:bottom w:val="nil"/>
            </w:tcBorders>
            <w:shd w:val="clear" w:color="auto" w:fill="FFFFFF"/>
          </w:tcPr>
          <w:p w14:paraId="3DED1F1D" w14:textId="77777777" w:rsidR="0006543A" w:rsidRPr="00D22765" w:rsidRDefault="0006543A" w:rsidP="0006543A">
            <w:pPr>
              <w:spacing w:before="120"/>
              <w:jc w:val="both"/>
              <w:rPr>
                <w:b/>
                <w:lang w:val="en-GB"/>
              </w:rPr>
            </w:pPr>
          </w:p>
        </w:tc>
        <w:tc>
          <w:tcPr>
            <w:tcW w:w="1021" w:type="dxa"/>
            <w:tcBorders>
              <w:bottom w:val="nil"/>
            </w:tcBorders>
            <w:shd w:val="clear" w:color="auto" w:fill="FFFFFF"/>
          </w:tcPr>
          <w:p w14:paraId="4CCF71DA" w14:textId="77777777" w:rsidR="0006543A" w:rsidRPr="00D22765" w:rsidRDefault="0006543A" w:rsidP="0006543A">
            <w:pPr>
              <w:spacing w:before="120"/>
              <w:jc w:val="both"/>
              <w:rPr>
                <w:b/>
                <w:lang w:val="en-GB"/>
              </w:rPr>
            </w:pPr>
          </w:p>
        </w:tc>
        <w:tc>
          <w:tcPr>
            <w:tcW w:w="2381" w:type="dxa"/>
            <w:tcBorders>
              <w:bottom w:val="nil"/>
            </w:tcBorders>
            <w:shd w:val="clear" w:color="auto" w:fill="FFFFFF"/>
          </w:tcPr>
          <w:p w14:paraId="4D4F9BA0" w14:textId="77777777" w:rsidR="0006543A" w:rsidRPr="00D22765" w:rsidRDefault="0006543A" w:rsidP="0006543A">
            <w:pPr>
              <w:spacing w:before="120"/>
              <w:jc w:val="both"/>
              <w:rPr>
                <w:b/>
                <w:lang w:val="en-GB"/>
              </w:rPr>
            </w:pPr>
          </w:p>
        </w:tc>
        <w:tc>
          <w:tcPr>
            <w:tcW w:w="1276" w:type="dxa"/>
            <w:tcBorders>
              <w:bottom w:val="nil"/>
            </w:tcBorders>
            <w:shd w:val="clear" w:color="auto" w:fill="FFFFFF"/>
          </w:tcPr>
          <w:p w14:paraId="02122464" w14:textId="77777777" w:rsidR="0006543A" w:rsidRPr="00D22765" w:rsidRDefault="0006543A" w:rsidP="0006543A">
            <w:pPr>
              <w:spacing w:before="120"/>
              <w:jc w:val="both"/>
              <w:rPr>
                <w:b/>
                <w:lang w:val="en-GB"/>
              </w:rPr>
            </w:pPr>
          </w:p>
        </w:tc>
        <w:tc>
          <w:tcPr>
            <w:tcW w:w="960" w:type="dxa"/>
            <w:tcBorders>
              <w:bottom w:val="nil"/>
            </w:tcBorders>
            <w:shd w:val="clear" w:color="auto" w:fill="FFFFFF"/>
          </w:tcPr>
          <w:p w14:paraId="0D0ACCF3" w14:textId="77777777" w:rsidR="0006543A" w:rsidRPr="00D22765" w:rsidRDefault="0006543A" w:rsidP="0006543A">
            <w:pPr>
              <w:spacing w:before="120"/>
              <w:jc w:val="both"/>
              <w:rPr>
                <w:b/>
                <w:lang w:val="en-GB"/>
              </w:rPr>
            </w:pPr>
          </w:p>
        </w:tc>
      </w:tr>
      <w:tr w:rsidR="001865DC" w:rsidRPr="00D22765" w14:paraId="507157AE" w14:textId="77777777" w:rsidTr="00807EC3">
        <w:trPr>
          <w:trHeight w:val="290"/>
        </w:trPr>
        <w:tc>
          <w:tcPr>
            <w:tcW w:w="2307" w:type="dxa"/>
            <w:tcBorders>
              <w:top w:val="nil"/>
            </w:tcBorders>
          </w:tcPr>
          <w:p w14:paraId="2487B50E" w14:textId="0926C3C7" w:rsidR="001865DC" w:rsidRPr="00985C6A" w:rsidRDefault="001865DC" w:rsidP="001865DC">
            <w:pPr>
              <w:spacing w:after="40" w:line="360" w:lineRule="auto"/>
              <w:jc w:val="both"/>
              <w:rPr>
                <w:szCs w:val="20"/>
                <w:lang w:val="de-DE"/>
              </w:rPr>
            </w:pPr>
            <w:r w:rsidRPr="00985C6A">
              <w:rPr>
                <w:szCs w:val="20"/>
                <w:lang w:val="de-DE"/>
              </w:rPr>
              <w:t>1. Austria</w:t>
            </w:r>
          </w:p>
          <w:p w14:paraId="05398D57" w14:textId="14E2E8D0" w:rsidR="001865DC" w:rsidRPr="00985C6A" w:rsidRDefault="001865DC" w:rsidP="001865DC">
            <w:pPr>
              <w:spacing w:after="40" w:line="360" w:lineRule="auto"/>
              <w:jc w:val="both"/>
              <w:rPr>
                <w:szCs w:val="20"/>
                <w:lang w:val="de-DE"/>
              </w:rPr>
            </w:pPr>
            <w:r w:rsidRPr="00985C6A">
              <w:rPr>
                <w:szCs w:val="20"/>
                <w:lang w:val="de-DE"/>
              </w:rPr>
              <w:t>2. Germany</w:t>
            </w:r>
          </w:p>
          <w:p w14:paraId="0BEFFF60" w14:textId="77777777" w:rsidR="001865DC" w:rsidRPr="00985C6A" w:rsidRDefault="001865DC" w:rsidP="001865DC">
            <w:pPr>
              <w:spacing w:after="40" w:line="360" w:lineRule="auto"/>
              <w:jc w:val="both"/>
              <w:rPr>
                <w:szCs w:val="20"/>
                <w:lang w:val="de-DE"/>
              </w:rPr>
            </w:pPr>
            <w:r w:rsidRPr="00985C6A">
              <w:rPr>
                <w:szCs w:val="20"/>
                <w:lang w:val="de-DE"/>
              </w:rPr>
              <w:t>3. USA</w:t>
            </w:r>
          </w:p>
          <w:p w14:paraId="1124C544" w14:textId="028F54F7" w:rsidR="001865DC" w:rsidRPr="00985C6A" w:rsidRDefault="001865DC" w:rsidP="001865DC">
            <w:pPr>
              <w:spacing w:after="40" w:line="360" w:lineRule="auto"/>
              <w:jc w:val="both"/>
              <w:rPr>
                <w:szCs w:val="20"/>
                <w:lang w:val="de-DE"/>
              </w:rPr>
            </w:pPr>
            <w:r w:rsidRPr="00985C6A">
              <w:rPr>
                <w:szCs w:val="20"/>
                <w:lang w:val="de-DE"/>
              </w:rPr>
              <w:t xml:space="preserve">4. </w:t>
            </w:r>
            <w:proofErr w:type="spellStart"/>
            <w:r w:rsidRPr="00985C6A">
              <w:rPr>
                <w:szCs w:val="20"/>
                <w:lang w:val="de-DE"/>
              </w:rPr>
              <w:t>Italy</w:t>
            </w:r>
            <w:proofErr w:type="spellEnd"/>
          </w:p>
          <w:p w14:paraId="4AB08ECE" w14:textId="77777777" w:rsidR="001865DC" w:rsidRPr="00985C6A" w:rsidRDefault="001865DC" w:rsidP="001865DC">
            <w:pPr>
              <w:spacing w:after="40" w:line="360" w:lineRule="auto"/>
              <w:jc w:val="both"/>
              <w:rPr>
                <w:szCs w:val="20"/>
                <w:lang w:val="de-DE"/>
              </w:rPr>
            </w:pPr>
            <w:r w:rsidRPr="00985C6A">
              <w:rPr>
                <w:szCs w:val="20"/>
                <w:lang w:val="de-DE"/>
              </w:rPr>
              <w:t xml:space="preserve">5. UK </w:t>
            </w:r>
          </w:p>
          <w:p w14:paraId="72634B27" w14:textId="00D035A6" w:rsidR="001865DC" w:rsidRPr="00985C6A" w:rsidRDefault="001865DC" w:rsidP="001865DC">
            <w:pPr>
              <w:spacing w:after="40" w:line="360" w:lineRule="auto"/>
              <w:jc w:val="both"/>
              <w:rPr>
                <w:szCs w:val="20"/>
                <w:lang w:val="de-DE"/>
              </w:rPr>
            </w:pPr>
            <w:r w:rsidRPr="00985C6A">
              <w:rPr>
                <w:szCs w:val="20"/>
                <w:lang w:val="de-DE"/>
              </w:rPr>
              <w:t xml:space="preserve">6. </w:t>
            </w:r>
            <w:proofErr w:type="spellStart"/>
            <w:r w:rsidRPr="00985C6A">
              <w:rPr>
                <w:szCs w:val="20"/>
                <w:lang w:val="de-DE"/>
              </w:rPr>
              <w:t>Switzerland</w:t>
            </w:r>
            <w:proofErr w:type="spellEnd"/>
            <w:r w:rsidRPr="00985C6A">
              <w:rPr>
                <w:szCs w:val="20"/>
                <w:lang w:val="de-DE"/>
              </w:rPr>
              <w:t xml:space="preserve"> </w:t>
            </w:r>
          </w:p>
          <w:p w14:paraId="6646FA99" w14:textId="2DE2FE89" w:rsidR="001865DC" w:rsidRPr="00D22765" w:rsidRDefault="001865DC" w:rsidP="001865DC">
            <w:pPr>
              <w:spacing w:after="40" w:line="360" w:lineRule="auto"/>
              <w:jc w:val="both"/>
              <w:rPr>
                <w:szCs w:val="20"/>
                <w:lang w:val="en-GB"/>
              </w:rPr>
            </w:pPr>
            <w:r w:rsidRPr="00D22765">
              <w:rPr>
                <w:szCs w:val="20"/>
                <w:lang w:val="en-GB"/>
              </w:rPr>
              <w:t>7. Netherlands</w:t>
            </w:r>
          </w:p>
          <w:p w14:paraId="4C089AEB" w14:textId="3F8A2638" w:rsidR="001865DC" w:rsidRPr="00D22765" w:rsidRDefault="001865DC" w:rsidP="001865DC">
            <w:pPr>
              <w:spacing w:after="40" w:line="360" w:lineRule="auto"/>
              <w:jc w:val="both"/>
              <w:rPr>
                <w:szCs w:val="20"/>
                <w:lang w:val="en-GB"/>
              </w:rPr>
            </w:pPr>
            <w:r w:rsidRPr="00D22765">
              <w:rPr>
                <w:szCs w:val="20"/>
                <w:lang w:val="en-GB"/>
              </w:rPr>
              <w:t>8. France</w:t>
            </w:r>
          </w:p>
          <w:p w14:paraId="012C1353" w14:textId="3FA23AB9" w:rsidR="001865DC" w:rsidRPr="00D22765" w:rsidRDefault="001865DC" w:rsidP="001865DC">
            <w:pPr>
              <w:spacing w:after="40" w:line="360" w:lineRule="auto"/>
              <w:jc w:val="both"/>
              <w:rPr>
                <w:szCs w:val="20"/>
                <w:lang w:val="en-GB"/>
              </w:rPr>
            </w:pPr>
            <w:r w:rsidRPr="00D22765">
              <w:rPr>
                <w:szCs w:val="20"/>
                <w:lang w:val="en-GB"/>
              </w:rPr>
              <w:t xml:space="preserve">9. Spain </w:t>
            </w:r>
          </w:p>
          <w:p w14:paraId="2D66506D" w14:textId="7873FC4F" w:rsidR="001865DC" w:rsidRPr="00D22765" w:rsidRDefault="001865DC" w:rsidP="001865DC">
            <w:pPr>
              <w:spacing w:after="40" w:line="360" w:lineRule="auto"/>
              <w:jc w:val="both"/>
              <w:rPr>
                <w:lang w:val="en-GB"/>
              </w:rPr>
            </w:pPr>
            <w:r w:rsidRPr="00D22765">
              <w:rPr>
                <w:szCs w:val="20"/>
                <w:lang w:val="en-GB"/>
              </w:rPr>
              <w:t>10. Czech Republic</w:t>
            </w:r>
          </w:p>
        </w:tc>
        <w:tc>
          <w:tcPr>
            <w:tcW w:w="1275" w:type="dxa"/>
            <w:tcBorders>
              <w:top w:val="nil"/>
            </w:tcBorders>
          </w:tcPr>
          <w:p w14:paraId="11864A85" w14:textId="77777777" w:rsidR="001865DC" w:rsidRPr="00D22765" w:rsidRDefault="001865DC" w:rsidP="001865DC">
            <w:pPr>
              <w:spacing w:after="40" w:line="360" w:lineRule="auto"/>
              <w:jc w:val="both"/>
              <w:rPr>
                <w:szCs w:val="20"/>
                <w:lang w:val="en-GB"/>
              </w:rPr>
            </w:pPr>
            <w:r w:rsidRPr="00D22765">
              <w:rPr>
                <w:szCs w:val="20"/>
                <w:lang w:val="en-GB"/>
              </w:rPr>
              <w:t>756.041</w:t>
            </w:r>
          </w:p>
          <w:p w14:paraId="67E588BC" w14:textId="77777777" w:rsidR="001865DC" w:rsidRPr="00D22765" w:rsidRDefault="001865DC" w:rsidP="001865DC">
            <w:pPr>
              <w:spacing w:after="40" w:line="360" w:lineRule="auto"/>
              <w:jc w:val="both"/>
              <w:rPr>
                <w:szCs w:val="20"/>
                <w:lang w:val="en-GB"/>
              </w:rPr>
            </w:pPr>
            <w:r w:rsidRPr="00D22765">
              <w:rPr>
                <w:szCs w:val="20"/>
                <w:lang w:val="en-GB"/>
              </w:rPr>
              <w:t>694.758</w:t>
            </w:r>
          </w:p>
          <w:p w14:paraId="6BBB8BE1" w14:textId="77777777" w:rsidR="001865DC" w:rsidRPr="00D22765" w:rsidRDefault="001865DC" w:rsidP="001865DC">
            <w:pPr>
              <w:spacing w:after="40" w:line="360" w:lineRule="auto"/>
              <w:jc w:val="both"/>
              <w:rPr>
                <w:szCs w:val="20"/>
                <w:lang w:val="en-GB"/>
              </w:rPr>
            </w:pPr>
            <w:r w:rsidRPr="00D22765">
              <w:rPr>
                <w:szCs w:val="20"/>
                <w:lang w:val="en-GB"/>
              </w:rPr>
              <w:t>209.633</w:t>
            </w:r>
          </w:p>
          <w:p w14:paraId="14F2330C" w14:textId="77777777" w:rsidR="001865DC" w:rsidRPr="00D22765" w:rsidRDefault="001865DC" w:rsidP="001865DC">
            <w:pPr>
              <w:spacing w:after="40" w:line="360" w:lineRule="auto"/>
              <w:jc w:val="both"/>
              <w:rPr>
                <w:szCs w:val="20"/>
                <w:lang w:val="en-GB"/>
              </w:rPr>
            </w:pPr>
            <w:r w:rsidRPr="00D22765">
              <w:rPr>
                <w:szCs w:val="20"/>
                <w:lang w:val="en-GB"/>
              </w:rPr>
              <w:t xml:space="preserve">  78.160</w:t>
            </w:r>
          </w:p>
          <w:p w14:paraId="2A9D1406" w14:textId="77777777" w:rsidR="001865DC" w:rsidRPr="00D22765" w:rsidRDefault="001865DC" w:rsidP="001865DC">
            <w:pPr>
              <w:spacing w:after="40" w:line="360" w:lineRule="auto"/>
              <w:jc w:val="both"/>
              <w:rPr>
                <w:szCs w:val="20"/>
                <w:lang w:val="en-GB"/>
              </w:rPr>
            </w:pPr>
            <w:r w:rsidRPr="00D22765">
              <w:rPr>
                <w:szCs w:val="20"/>
                <w:lang w:val="en-GB"/>
              </w:rPr>
              <w:t xml:space="preserve">  77.630</w:t>
            </w:r>
          </w:p>
          <w:p w14:paraId="6715FAA7" w14:textId="77777777" w:rsidR="001865DC" w:rsidRPr="00D22765" w:rsidRDefault="001865DC" w:rsidP="001865DC">
            <w:pPr>
              <w:spacing w:after="40" w:line="360" w:lineRule="auto"/>
              <w:jc w:val="both"/>
              <w:rPr>
                <w:szCs w:val="20"/>
                <w:lang w:val="en-GB"/>
              </w:rPr>
            </w:pPr>
            <w:r w:rsidRPr="00D22765">
              <w:rPr>
                <w:szCs w:val="20"/>
                <w:lang w:val="en-GB"/>
              </w:rPr>
              <w:t xml:space="preserve">  74.033</w:t>
            </w:r>
          </w:p>
          <w:p w14:paraId="513DB5A7" w14:textId="77777777" w:rsidR="001865DC" w:rsidRPr="00D22765" w:rsidRDefault="001865DC" w:rsidP="001865DC">
            <w:pPr>
              <w:spacing w:after="40" w:line="360" w:lineRule="auto"/>
              <w:jc w:val="both"/>
              <w:rPr>
                <w:szCs w:val="20"/>
                <w:lang w:val="en-GB"/>
              </w:rPr>
            </w:pPr>
            <w:r w:rsidRPr="00D22765">
              <w:rPr>
                <w:szCs w:val="20"/>
                <w:lang w:val="en-GB"/>
              </w:rPr>
              <w:t xml:space="preserve">  56.322</w:t>
            </w:r>
          </w:p>
          <w:p w14:paraId="476EB177" w14:textId="77777777" w:rsidR="001865DC" w:rsidRPr="00D22765" w:rsidRDefault="001865DC" w:rsidP="001865DC">
            <w:pPr>
              <w:spacing w:after="40" w:line="360" w:lineRule="auto"/>
              <w:jc w:val="both"/>
              <w:rPr>
                <w:szCs w:val="20"/>
                <w:lang w:val="en-GB"/>
              </w:rPr>
            </w:pPr>
            <w:r w:rsidRPr="00D22765">
              <w:rPr>
                <w:szCs w:val="20"/>
                <w:lang w:val="en-GB"/>
              </w:rPr>
              <w:t xml:space="preserve">  37.560</w:t>
            </w:r>
          </w:p>
          <w:p w14:paraId="7C9B0E59" w14:textId="77777777" w:rsidR="001865DC" w:rsidRPr="00D22765" w:rsidRDefault="001865DC" w:rsidP="001865DC">
            <w:pPr>
              <w:spacing w:after="40" w:line="360" w:lineRule="auto"/>
              <w:jc w:val="both"/>
              <w:rPr>
                <w:szCs w:val="20"/>
                <w:lang w:val="en-GB"/>
              </w:rPr>
            </w:pPr>
            <w:r w:rsidRPr="00D22765">
              <w:rPr>
                <w:szCs w:val="20"/>
                <w:lang w:val="en-GB"/>
              </w:rPr>
              <w:t xml:space="preserve">  35.704</w:t>
            </w:r>
          </w:p>
          <w:p w14:paraId="60B05B84" w14:textId="638270A7" w:rsidR="001865DC" w:rsidRPr="00D22765" w:rsidRDefault="001865DC" w:rsidP="001865DC">
            <w:pPr>
              <w:spacing w:after="40" w:line="360" w:lineRule="auto"/>
              <w:jc w:val="both"/>
              <w:rPr>
                <w:lang w:val="en-GB"/>
              </w:rPr>
            </w:pPr>
            <w:r w:rsidRPr="00D22765">
              <w:rPr>
                <w:szCs w:val="20"/>
                <w:lang w:val="en-GB"/>
              </w:rPr>
              <w:t xml:space="preserve">  33.498</w:t>
            </w:r>
          </w:p>
        </w:tc>
        <w:tc>
          <w:tcPr>
            <w:tcW w:w="1021" w:type="dxa"/>
            <w:tcBorders>
              <w:top w:val="nil"/>
            </w:tcBorders>
          </w:tcPr>
          <w:p w14:paraId="1B17E2FA" w14:textId="77777777" w:rsidR="001865DC" w:rsidRPr="00D22765" w:rsidRDefault="001865DC" w:rsidP="001865DC">
            <w:pPr>
              <w:spacing w:after="40" w:line="360" w:lineRule="auto"/>
              <w:jc w:val="both"/>
              <w:rPr>
                <w:szCs w:val="20"/>
                <w:lang w:val="en-GB"/>
              </w:rPr>
            </w:pPr>
            <w:r w:rsidRPr="00D22765">
              <w:rPr>
                <w:szCs w:val="20"/>
                <w:lang w:val="en-GB"/>
              </w:rPr>
              <w:t>28,7 %</w:t>
            </w:r>
          </w:p>
          <w:p w14:paraId="7E6B47AA" w14:textId="77777777" w:rsidR="001865DC" w:rsidRPr="00D22765" w:rsidRDefault="001865DC" w:rsidP="001865DC">
            <w:pPr>
              <w:spacing w:after="40" w:line="360" w:lineRule="auto"/>
              <w:jc w:val="both"/>
              <w:rPr>
                <w:szCs w:val="20"/>
                <w:lang w:val="en-GB"/>
              </w:rPr>
            </w:pPr>
            <w:r w:rsidRPr="00D22765">
              <w:rPr>
                <w:szCs w:val="20"/>
                <w:lang w:val="en-GB"/>
              </w:rPr>
              <w:t>26,1 %</w:t>
            </w:r>
          </w:p>
          <w:p w14:paraId="74A94375" w14:textId="77777777" w:rsidR="001865DC" w:rsidRPr="00D22765" w:rsidRDefault="001865DC" w:rsidP="001865DC">
            <w:pPr>
              <w:spacing w:after="40" w:line="360" w:lineRule="auto"/>
              <w:jc w:val="both"/>
              <w:rPr>
                <w:szCs w:val="20"/>
                <w:lang w:val="en-GB"/>
              </w:rPr>
            </w:pPr>
            <w:r w:rsidRPr="00D22765">
              <w:rPr>
                <w:szCs w:val="20"/>
                <w:lang w:val="en-GB"/>
              </w:rPr>
              <w:t xml:space="preserve">  8,0 %</w:t>
            </w:r>
          </w:p>
          <w:p w14:paraId="1C8DE5B4" w14:textId="77777777" w:rsidR="001865DC" w:rsidRPr="00D22765" w:rsidRDefault="001865DC" w:rsidP="001865DC">
            <w:pPr>
              <w:spacing w:after="40" w:line="360" w:lineRule="auto"/>
              <w:jc w:val="both"/>
              <w:rPr>
                <w:szCs w:val="20"/>
                <w:lang w:val="en-GB"/>
              </w:rPr>
            </w:pPr>
            <w:r w:rsidRPr="00D22765">
              <w:rPr>
                <w:szCs w:val="20"/>
                <w:lang w:val="en-GB"/>
              </w:rPr>
              <w:t xml:space="preserve">  3,0 %</w:t>
            </w:r>
          </w:p>
          <w:p w14:paraId="0AB1EA28" w14:textId="77777777" w:rsidR="001865DC" w:rsidRPr="00D22765" w:rsidRDefault="001865DC" w:rsidP="001865DC">
            <w:pPr>
              <w:spacing w:after="40" w:line="360" w:lineRule="auto"/>
              <w:jc w:val="both"/>
              <w:rPr>
                <w:szCs w:val="20"/>
                <w:lang w:val="en-GB"/>
              </w:rPr>
            </w:pPr>
            <w:r w:rsidRPr="00D22765">
              <w:rPr>
                <w:szCs w:val="20"/>
                <w:lang w:val="en-GB"/>
              </w:rPr>
              <w:t xml:space="preserve">  3,0 %</w:t>
            </w:r>
          </w:p>
          <w:p w14:paraId="6670CA1C" w14:textId="77777777" w:rsidR="001865DC" w:rsidRPr="00D22765" w:rsidRDefault="001865DC" w:rsidP="001865DC">
            <w:pPr>
              <w:spacing w:after="40" w:line="360" w:lineRule="auto"/>
              <w:jc w:val="both"/>
              <w:rPr>
                <w:szCs w:val="20"/>
                <w:lang w:val="en-GB"/>
              </w:rPr>
            </w:pPr>
            <w:r w:rsidRPr="00D22765">
              <w:rPr>
                <w:szCs w:val="20"/>
                <w:lang w:val="en-GB"/>
              </w:rPr>
              <w:t xml:space="preserve">  2,8 %</w:t>
            </w:r>
          </w:p>
          <w:p w14:paraId="10067C40" w14:textId="77777777" w:rsidR="001865DC" w:rsidRPr="00D22765" w:rsidRDefault="001865DC" w:rsidP="001865DC">
            <w:pPr>
              <w:spacing w:after="40" w:line="360" w:lineRule="auto"/>
              <w:jc w:val="both"/>
              <w:rPr>
                <w:szCs w:val="20"/>
                <w:lang w:val="en-GB"/>
              </w:rPr>
            </w:pPr>
            <w:r w:rsidRPr="00D22765">
              <w:rPr>
                <w:szCs w:val="20"/>
                <w:lang w:val="en-GB"/>
              </w:rPr>
              <w:t xml:space="preserve">  2,1 %</w:t>
            </w:r>
          </w:p>
          <w:p w14:paraId="63D96230" w14:textId="77777777" w:rsidR="001865DC" w:rsidRPr="00D22765" w:rsidRDefault="001865DC" w:rsidP="001865DC">
            <w:pPr>
              <w:spacing w:after="40" w:line="360" w:lineRule="auto"/>
              <w:jc w:val="both"/>
              <w:rPr>
                <w:szCs w:val="20"/>
                <w:lang w:val="en-GB"/>
              </w:rPr>
            </w:pPr>
            <w:r w:rsidRPr="00D22765">
              <w:rPr>
                <w:szCs w:val="20"/>
                <w:lang w:val="en-GB"/>
              </w:rPr>
              <w:t xml:space="preserve">  1,4 %</w:t>
            </w:r>
          </w:p>
          <w:p w14:paraId="2598BB75" w14:textId="77777777" w:rsidR="001865DC" w:rsidRPr="00D22765" w:rsidRDefault="001865DC" w:rsidP="001865DC">
            <w:pPr>
              <w:spacing w:after="40" w:line="360" w:lineRule="auto"/>
              <w:jc w:val="both"/>
              <w:rPr>
                <w:szCs w:val="20"/>
                <w:lang w:val="en-GB"/>
              </w:rPr>
            </w:pPr>
            <w:r w:rsidRPr="00D22765">
              <w:rPr>
                <w:szCs w:val="20"/>
                <w:lang w:val="en-GB"/>
              </w:rPr>
              <w:t xml:space="preserve">  1,4 %</w:t>
            </w:r>
          </w:p>
          <w:p w14:paraId="59FED543" w14:textId="6F5C402F" w:rsidR="001865DC" w:rsidRPr="00D22765" w:rsidRDefault="001865DC" w:rsidP="001865DC">
            <w:pPr>
              <w:spacing w:after="40" w:line="360" w:lineRule="auto"/>
              <w:jc w:val="both"/>
              <w:rPr>
                <w:lang w:val="en-GB"/>
              </w:rPr>
            </w:pPr>
            <w:r w:rsidRPr="00D22765">
              <w:rPr>
                <w:szCs w:val="20"/>
                <w:lang w:val="en-GB"/>
              </w:rPr>
              <w:t xml:space="preserve">  1,3 %</w:t>
            </w:r>
          </w:p>
        </w:tc>
        <w:tc>
          <w:tcPr>
            <w:tcW w:w="2381" w:type="dxa"/>
            <w:tcBorders>
              <w:top w:val="nil"/>
            </w:tcBorders>
          </w:tcPr>
          <w:p w14:paraId="36ABC31D" w14:textId="495D32F7" w:rsidR="001865DC" w:rsidRPr="00985C6A" w:rsidRDefault="001865DC" w:rsidP="001865DC">
            <w:pPr>
              <w:spacing w:after="40" w:line="360" w:lineRule="auto"/>
              <w:jc w:val="both"/>
              <w:rPr>
                <w:szCs w:val="20"/>
                <w:lang w:val="de-DE"/>
              </w:rPr>
            </w:pPr>
            <w:r w:rsidRPr="00985C6A">
              <w:rPr>
                <w:szCs w:val="20"/>
                <w:lang w:val="de-DE"/>
              </w:rPr>
              <w:t>1. Austria</w:t>
            </w:r>
          </w:p>
          <w:p w14:paraId="7669124A" w14:textId="6863139D" w:rsidR="001865DC" w:rsidRPr="00985C6A" w:rsidRDefault="001865DC" w:rsidP="001865DC">
            <w:pPr>
              <w:spacing w:after="40" w:line="360" w:lineRule="auto"/>
              <w:jc w:val="both"/>
              <w:rPr>
                <w:szCs w:val="20"/>
                <w:lang w:val="de-DE"/>
              </w:rPr>
            </w:pPr>
            <w:r w:rsidRPr="00985C6A">
              <w:rPr>
                <w:szCs w:val="20"/>
                <w:lang w:val="de-DE"/>
              </w:rPr>
              <w:t>2. Germany</w:t>
            </w:r>
          </w:p>
          <w:p w14:paraId="37EF8A28" w14:textId="0D1F96A7" w:rsidR="001865DC" w:rsidRPr="00985C6A" w:rsidRDefault="001865DC" w:rsidP="001865DC">
            <w:pPr>
              <w:spacing w:after="40" w:line="360" w:lineRule="auto"/>
              <w:jc w:val="both"/>
              <w:rPr>
                <w:szCs w:val="20"/>
                <w:lang w:val="de-DE"/>
              </w:rPr>
            </w:pPr>
            <w:r w:rsidRPr="00985C6A">
              <w:rPr>
                <w:szCs w:val="20"/>
                <w:lang w:val="de-DE"/>
              </w:rPr>
              <w:t xml:space="preserve">3. </w:t>
            </w:r>
            <w:proofErr w:type="spellStart"/>
            <w:r w:rsidRPr="00985C6A">
              <w:rPr>
                <w:szCs w:val="20"/>
                <w:lang w:val="de-DE"/>
              </w:rPr>
              <w:t>Netherlands</w:t>
            </w:r>
            <w:proofErr w:type="spellEnd"/>
          </w:p>
          <w:p w14:paraId="7B94024F" w14:textId="77777777" w:rsidR="001865DC" w:rsidRPr="00985C6A" w:rsidRDefault="001865DC" w:rsidP="001865DC">
            <w:pPr>
              <w:spacing w:after="40" w:line="360" w:lineRule="auto"/>
              <w:jc w:val="both"/>
              <w:rPr>
                <w:szCs w:val="20"/>
                <w:lang w:val="de-DE"/>
              </w:rPr>
            </w:pPr>
            <w:r w:rsidRPr="00985C6A">
              <w:rPr>
                <w:szCs w:val="20"/>
                <w:lang w:val="de-DE"/>
              </w:rPr>
              <w:t>4. USA</w:t>
            </w:r>
          </w:p>
          <w:p w14:paraId="78299279" w14:textId="12A7CB9A" w:rsidR="001865DC" w:rsidRPr="00985C6A" w:rsidRDefault="001865DC" w:rsidP="001865DC">
            <w:pPr>
              <w:spacing w:after="40" w:line="360" w:lineRule="auto"/>
              <w:jc w:val="both"/>
              <w:rPr>
                <w:szCs w:val="20"/>
                <w:lang w:val="de-DE"/>
              </w:rPr>
            </w:pPr>
            <w:r w:rsidRPr="00985C6A">
              <w:rPr>
                <w:szCs w:val="20"/>
                <w:lang w:val="de-DE"/>
              </w:rPr>
              <w:t xml:space="preserve">5. </w:t>
            </w:r>
            <w:proofErr w:type="spellStart"/>
            <w:r w:rsidRPr="00985C6A">
              <w:rPr>
                <w:szCs w:val="20"/>
                <w:lang w:val="de-DE"/>
              </w:rPr>
              <w:t>Switzerland</w:t>
            </w:r>
            <w:proofErr w:type="spellEnd"/>
          </w:p>
          <w:p w14:paraId="6DE51CDF" w14:textId="345AD0CC" w:rsidR="001865DC" w:rsidRPr="00985C6A" w:rsidRDefault="001865DC" w:rsidP="001865DC">
            <w:pPr>
              <w:spacing w:after="40" w:line="360" w:lineRule="auto"/>
              <w:jc w:val="both"/>
              <w:rPr>
                <w:szCs w:val="20"/>
                <w:lang w:val="de-DE"/>
              </w:rPr>
            </w:pPr>
            <w:r w:rsidRPr="00985C6A">
              <w:rPr>
                <w:szCs w:val="20"/>
                <w:lang w:val="de-DE"/>
              </w:rPr>
              <w:t xml:space="preserve">6. </w:t>
            </w:r>
            <w:proofErr w:type="spellStart"/>
            <w:r w:rsidRPr="00985C6A">
              <w:rPr>
                <w:szCs w:val="20"/>
                <w:lang w:val="de-DE"/>
              </w:rPr>
              <w:t>Italy</w:t>
            </w:r>
            <w:proofErr w:type="spellEnd"/>
            <w:r w:rsidRPr="00985C6A">
              <w:rPr>
                <w:szCs w:val="20"/>
                <w:lang w:val="de-DE"/>
              </w:rPr>
              <w:t xml:space="preserve"> </w:t>
            </w:r>
          </w:p>
          <w:p w14:paraId="09918D07" w14:textId="6FF8C924" w:rsidR="001865DC" w:rsidRPr="00D22765" w:rsidRDefault="001865DC" w:rsidP="001865DC">
            <w:pPr>
              <w:spacing w:after="40" w:line="360" w:lineRule="auto"/>
              <w:jc w:val="both"/>
              <w:rPr>
                <w:szCs w:val="20"/>
                <w:lang w:val="en-GB"/>
              </w:rPr>
            </w:pPr>
            <w:r w:rsidRPr="00D22765">
              <w:rPr>
                <w:szCs w:val="20"/>
                <w:lang w:val="en-GB"/>
              </w:rPr>
              <w:t>7. Czech Republic</w:t>
            </w:r>
          </w:p>
          <w:p w14:paraId="2FDBFC51" w14:textId="27B99F4B" w:rsidR="001865DC" w:rsidRPr="00D22765" w:rsidRDefault="001865DC" w:rsidP="001865DC">
            <w:pPr>
              <w:spacing w:after="40" w:line="360" w:lineRule="auto"/>
              <w:jc w:val="both"/>
              <w:rPr>
                <w:szCs w:val="20"/>
                <w:lang w:val="en-GB"/>
              </w:rPr>
            </w:pPr>
            <w:r w:rsidRPr="00D22765">
              <w:rPr>
                <w:szCs w:val="20"/>
                <w:lang w:val="en-GB"/>
              </w:rPr>
              <w:t>8. France</w:t>
            </w:r>
          </w:p>
          <w:p w14:paraId="256B80CD" w14:textId="77777777" w:rsidR="001865DC" w:rsidRPr="00D22765" w:rsidRDefault="001865DC" w:rsidP="001865DC">
            <w:pPr>
              <w:spacing w:after="40" w:line="360" w:lineRule="auto"/>
              <w:jc w:val="both"/>
              <w:rPr>
                <w:szCs w:val="20"/>
                <w:lang w:val="en-GB"/>
              </w:rPr>
            </w:pPr>
            <w:r w:rsidRPr="00D22765">
              <w:rPr>
                <w:szCs w:val="20"/>
                <w:lang w:val="en-GB"/>
              </w:rPr>
              <w:t xml:space="preserve">9. Israel </w:t>
            </w:r>
          </w:p>
          <w:p w14:paraId="5126CD7F" w14:textId="64FB5413" w:rsidR="001865DC" w:rsidRPr="00D22765" w:rsidRDefault="001865DC" w:rsidP="001865DC">
            <w:pPr>
              <w:spacing w:after="40" w:line="360" w:lineRule="auto"/>
              <w:jc w:val="both"/>
              <w:rPr>
                <w:lang w:val="en-GB"/>
              </w:rPr>
            </w:pPr>
            <w:r w:rsidRPr="00D22765">
              <w:rPr>
                <w:szCs w:val="20"/>
                <w:lang w:val="en-GB"/>
              </w:rPr>
              <w:t>10. Belgium</w:t>
            </w:r>
          </w:p>
        </w:tc>
        <w:tc>
          <w:tcPr>
            <w:tcW w:w="1276" w:type="dxa"/>
            <w:tcBorders>
              <w:top w:val="nil"/>
            </w:tcBorders>
          </w:tcPr>
          <w:p w14:paraId="6EAA8D06" w14:textId="77777777" w:rsidR="001865DC" w:rsidRPr="00D22765" w:rsidRDefault="001865DC" w:rsidP="001865DC">
            <w:pPr>
              <w:spacing w:after="40" w:line="360" w:lineRule="auto"/>
              <w:jc w:val="both"/>
              <w:rPr>
                <w:szCs w:val="20"/>
                <w:lang w:val="en-GB"/>
              </w:rPr>
            </w:pPr>
            <w:r w:rsidRPr="00D22765">
              <w:rPr>
                <w:szCs w:val="20"/>
                <w:lang w:val="en-GB"/>
              </w:rPr>
              <w:t>459.591</w:t>
            </w:r>
          </w:p>
          <w:p w14:paraId="1FF11AAA" w14:textId="77777777" w:rsidR="001865DC" w:rsidRPr="00D22765" w:rsidRDefault="001865DC" w:rsidP="001865DC">
            <w:pPr>
              <w:spacing w:after="40" w:line="360" w:lineRule="auto"/>
              <w:jc w:val="both"/>
              <w:rPr>
                <w:szCs w:val="20"/>
                <w:lang w:val="en-GB"/>
              </w:rPr>
            </w:pPr>
            <w:r w:rsidRPr="00D22765">
              <w:rPr>
                <w:szCs w:val="20"/>
                <w:lang w:val="en-GB"/>
              </w:rPr>
              <w:t>451.618</w:t>
            </w:r>
          </w:p>
          <w:p w14:paraId="7F98AC6B" w14:textId="77777777" w:rsidR="001865DC" w:rsidRPr="00D22765" w:rsidRDefault="001865DC" w:rsidP="001865DC">
            <w:pPr>
              <w:spacing w:after="40" w:line="360" w:lineRule="auto"/>
              <w:jc w:val="both"/>
              <w:rPr>
                <w:szCs w:val="20"/>
                <w:lang w:val="en-GB"/>
              </w:rPr>
            </w:pPr>
            <w:r w:rsidRPr="00D22765">
              <w:rPr>
                <w:szCs w:val="20"/>
                <w:lang w:val="en-GB"/>
              </w:rPr>
              <w:t xml:space="preserve">  42.161</w:t>
            </w:r>
          </w:p>
          <w:p w14:paraId="1F1B7BB6" w14:textId="77777777" w:rsidR="001865DC" w:rsidRPr="00D22765" w:rsidRDefault="001865DC" w:rsidP="001865DC">
            <w:pPr>
              <w:spacing w:after="40" w:line="360" w:lineRule="auto"/>
              <w:jc w:val="both"/>
              <w:rPr>
                <w:szCs w:val="20"/>
                <w:lang w:val="en-GB"/>
              </w:rPr>
            </w:pPr>
            <w:r w:rsidRPr="00D22765">
              <w:rPr>
                <w:szCs w:val="20"/>
                <w:lang w:val="en-GB"/>
              </w:rPr>
              <w:t xml:space="preserve">  40.103</w:t>
            </w:r>
          </w:p>
          <w:p w14:paraId="7C65ABE3" w14:textId="77777777" w:rsidR="001865DC" w:rsidRPr="00D22765" w:rsidRDefault="001865DC" w:rsidP="001865DC">
            <w:pPr>
              <w:spacing w:after="40" w:line="360" w:lineRule="auto"/>
              <w:jc w:val="both"/>
              <w:rPr>
                <w:szCs w:val="20"/>
                <w:lang w:val="en-GB"/>
              </w:rPr>
            </w:pPr>
            <w:r w:rsidRPr="00D22765">
              <w:rPr>
                <w:szCs w:val="20"/>
                <w:lang w:val="en-GB"/>
              </w:rPr>
              <w:t xml:space="preserve">  38.770</w:t>
            </w:r>
          </w:p>
          <w:p w14:paraId="63801B33" w14:textId="77777777" w:rsidR="001865DC" w:rsidRPr="00D22765" w:rsidRDefault="001865DC" w:rsidP="001865DC">
            <w:pPr>
              <w:spacing w:after="40" w:line="360" w:lineRule="auto"/>
              <w:jc w:val="both"/>
              <w:rPr>
                <w:szCs w:val="20"/>
                <w:lang w:val="en-GB"/>
              </w:rPr>
            </w:pPr>
            <w:r w:rsidRPr="00D22765">
              <w:rPr>
                <w:szCs w:val="20"/>
                <w:lang w:val="en-GB"/>
              </w:rPr>
              <w:t xml:space="preserve">  31.973</w:t>
            </w:r>
          </w:p>
          <w:p w14:paraId="44A0578F" w14:textId="77777777" w:rsidR="001865DC" w:rsidRPr="00D22765" w:rsidRDefault="001865DC" w:rsidP="001865DC">
            <w:pPr>
              <w:spacing w:after="40" w:line="360" w:lineRule="auto"/>
              <w:jc w:val="both"/>
              <w:rPr>
                <w:szCs w:val="20"/>
                <w:lang w:val="en-GB"/>
              </w:rPr>
            </w:pPr>
            <w:r w:rsidRPr="00D22765">
              <w:rPr>
                <w:szCs w:val="20"/>
                <w:lang w:val="en-GB"/>
              </w:rPr>
              <w:t xml:space="preserve">  21.480</w:t>
            </w:r>
          </w:p>
          <w:p w14:paraId="564BCF3B" w14:textId="77777777" w:rsidR="001865DC" w:rsidRPr="00D22765" w:rsidRDefault="001865DC" w:rsidP="001865DC">
            <w:pPr>
              <w:spacing w:after="40" w:line="360" w:lineRule="auto"/>
              <w:jc w:val="both"/>
              <w:rPr>
                <w:szCs w:val="20"/>
                <w:lang w:val="en-GB"/>
              </w:rPr>
            </w:pPr>
            <w:r w:rsidRPr="00D22765">
              <w:rPr>
                <w:szCs w:val="20"/>
                <w:lang w:val="en-GB"/>
              </w:rPr>
              <w:t xml:space="preserve">  20.395</w:t>
            </w:r>
          </w:p>
          <w:p w14:paraId="3559F2CF" w14:textId="77777777" w:rsidR="001865DC" w:rsidRPr="00D22765" w:rsidRDefault="001865DC" w:rsidP="001865DC">
            <w:pPr>
              <w:spacing w:after="40" w:line="360" w:lineRule="auto"/>
              <w:jc w:val="both"/>
              <w:rPr>
                <w:szCs w:val="20"/>
                <w:lang w:val="en-GB"/>
              </w:rPr>
            </w:pPr>
            <w:r w:rsidRPr="00D22765">
              <w:rPr>
                <w:szCs w:val="20"/>
                <w:lang w:val="en-GB"/>
              </w:rPr>
              <w:t xml:space="preserve">  16.995</w:t>
            </w:r>
          </w:p>
          <w:p w14:paraId="7661C6AD" w14:textId="56C4CA03" w:rsidR="001865DC" w:rsidRPr="00D22765" w:rsidRDefault="001865DC" w:rsidP="001865DC">
            <w:pPr>
              <w:spacing w:after="40" w:line="360" w:lineRule="auto"/>
              <w:jc w:val="both"/>
              <w:rPr>
                <w:lang w:val="en-GB"/>
              </w:rPr>
            </w:pPr>
            <w:r w:rsidRPr="00D22765">
              <w:rPr>
                <w:szCs w:val="20"/>
                <w:lang w:val="en-GB"/>
              </w:rPr>
              <w:t xml:space="preserve">  14.562</w:t>
            </w:r>
          </w:p>
        </w:tc>
        <w:tc>
          <w:tcPr>
            <w:tcW w:w="960" w:type="dxa"/>
            <w:tcBorders>
              <w:top w:val="nil"/>
            </w:tcBorders>
          </w:tcPr>
          <w:p w14:paraId="5D484BF4" w14:textId="77777777" w:rsidR="001865DC" w:rsidRPr="00D22765" w:rsidRDefault="001865DC" w:rsidP="001865DC">
            <w:pPr>
              <w:spacing w:after="40" w:line="360" w:lineRule="auto"/>
              <w:jc w:val="both"/>
              <w:rPr>
                <w:szCs w:val="20"/>
                <w:lang w:val="en-GB"/>
              </w:rPr>
            </w:pPr>
            <w:r w:rsidRPr="00D22765">
              <w:rPr>
                <w:szCs w:val="20"/>
                <w:lang w:val="en-GB"/>
              </w:rPr>
              <w:t>34.7 %</w:t>
            </w:r>
          </w:p>
          <w:p w14:paraId="3996A98F" w14:textId="77777777" w:rsidR="001865DC" w:rsidRPr="00D22765" w:rsidRDefault="001865DC" w:rsidP="001865DC">
            <w:pPr>
              <w:spacing w:after="40" w:line="360" w:lineRule="auto"/>
              <w:jc w:val="both"/>
              <w:rPr>
                <w:szCs w:val="20"/>
                <w:lang w:val="en-GB"/>
              </w:rPr>
            </w:pPr>
            <w:r w:rsidRPr="00D22765">
              <w:rPr>
                <w:szCs w:val="20"/>
                <w:lang w:val="en-GB"/>
              </w:rPr>
              <w:t>34,1 %</w:t>
            </w:r>
          </w:p>
          <w:p w14:paraId="63F39C3A" w14:textId="77777777" w:rsidR="001865DC" w:rsidRPr="00D22765" w:rsidRDefault="001865DC" w:rsidP="001865DC">
            <w:pPr>
              <w:spacing w:after="40" w:line="360" w:lineRule="auto"/>
              <w:jc w:val="both"/>
              <w:rPr>
                <w:szCs w:val="20"/>
                <w:lang w:val="en-GB"/>
              </w:rPr>
            </w:pPr>
            <w:r w:rsidRPr="00D22765">
              <w:rPr>
                <w:szCs w:val="20"/>
                <w:lang w:val="en-GB"/>
              </w:rPr>
              <w:t xml:space="preserve">  3,2 %</w:t>
            </w:r>
          </w:p>
          <w:p w14:paraId="13BD4FA4" w14:textId="77777777" w:rsidR="001865DC" w:rsidRPr="00D22765" w:rsidRDefault="001865DC" w:rsidP="001865DC">
            <w:pPr>
              <w:spacing w:after="40" w:line="360" w:lineRule="auto"/>
              <w:jc w:val="both"/>
              <w:rPr>
                <w:szCs w:val="20"/>
                <w:lang w:val="en-GB"/>
              </w:rPr>
            </w:pPr>
            <w:r w:rsidRPr="00D22765">
              <w:rPr>
                <w:szCs w:val="20"/>
                <w:lang w:val="en-GB"/>
              </w:rPr>
              <w:t xml:space="preserve">  3,0 %</w:t>
            </w:r>
          </w:p>
          <w:p w14:paraId="60A4EFA3" w14:textId="77777777" w:rsidR="001865DC" w:rsidRPr="00D22765" w:rsidRDefault="001865DC" w:rsidP="001865DC">
            <w:pPr>
              <w:spacing w:after="40" w:line="360" w:lineRule="auto"/>
              <w:jc w:val="both"/>
              <w:rPr>
                <w:szCs w:val="20"/>
                <w:lang w:val="en-GB"/>
              </w:rPr>
            </w:pPr>
            <w:r w:rsidRPr="00D22765">
              <w:rPr>
                <w:szCs w:val="20"/>
                <w:lang w:val="en-GB"/>
              </w:rPr>
              <w:t xml:space="preserve">  2,9 %</w:t>
            </w:r>
          </w:p>
          <w:p w14:paraId="328A2EBC" w14:textId="77777777" w:rsidR="001865DC" w:rsidRPr="00D22765" w:rsidRDefault="001865DC" w:rsidP="001865DC">
            <w:pPr>
              <w:spacing w:after="40" w:line="360" w:lineRule="auto"/>
              <w:jc w:val="both"/>
              <w:rPr>
                <w:szCs w:val="20"/>
                <w:lang w:val="en-GB"/>
              </w:rPr>
            </w:pPr>
            <w:r w:rsidRPr="00D22765">
              <w:rPr>
                <w:szCs w:val="20"/>
                <w:lang w:val="en-GB"/>
              </w:rPr>
              <w:t xml:space="preserve">  2,4 %</w:t>
            </w:r>
          </w:p>
          <w:p w14:paraId="7A2FB910" w14:textId="77777777" w:rsidR="001865DC" w:rsidRPr="00D22765" w:rsidRDefault="001865DC" w:rsidP="001865DC">
            <w:pPr>
              <w:spacing w:after="40" w:line="360" w:lineRule="auto"/>
              <w:jc w:val="both"/>
              <w:rPr>
                <w:szCs w:val="20"/>
                <w:lang w:val="en-GB"/>
              </w:rPr>
            </w:pPr>
            <w:r w:rsidRPr="00D22765">
              <w:rPr>
                <w:szCs w:val="20"/>
                <w:lang w:val="en-GB"/>
              </w:rPr>
              <w:t xml:space="preserve">  1,6 %</w:t>
            </w:r>
          </w:p>
          <w:p w14:paraId="13DB81B1" w14:textId="77777777" w:rsidR="001865DC" w:rsidRPr="00D22765" w:rsidRDefault="001865DC" w:rsidP="001865DC">
            <w:pPr>
              <w:spacing w:after="40" w:line="360" w:lineRule="auto"/>
              <w:jc w:val="both"/>
              <w:rPr>
                <w:szCs w:val="20"/>
                <w:lang w:val="en-GB"/>
              </w:rPr>
            </w:pPr>
            <w:r w:rsidRPr="00D22765">
              <w:rPr>
                <w:szCs w:val="20"/>
                <w:lang w:val="en-GB"/>
              </w:rPr>
              <w:t xml:space="preserve">  1,5 %</w:t>
            </w:r>
          </w:p>
          <w:p w14:paraId="670B25E9" w14:textId="77777777" w:rsidR="001865DC" w:rsidRPr="00D22765" w:rsidRDefault="001865DC" w:rsidP="001865DC">
            <w:pPr>
              <w:spacing w:after="40" w:line="360" w:lineRule="auto"/>
              <w:jc w:val="both"/>
              <w:rPr>
                <w:szCs w:val="20"/>
                <w:lang w:val="en-GB"/>
              </w:rPr>
            </w:pPr>
            <w:r w:rsidRPr="00D22765">
              <w:rPr>
                <w:szCs w:val="20"/>
                <w:lang w:val="en-GB"/>
              </w:rPr>
              <w:t xml:space="preserve">  1,3 %</w:t>
            </w:r>
          </w:p>
          <w:p w14:paraId="6387165A" w14:textId="31BA47D8" w:rsidR="001865DC" w:rsidRPr="00D22765" w:rsidRDefault="001865DC" w:rsidP="001865DC">
            <w:pPr>
              <w:spacing w:after="40" w:line="360" w:lineRule="auto"/>
              <w:jc w:val="both"/>
              <w:rPr>
                <w:lang w:val="en-GB"/>
              </w:rPr>
            </w:pPr>
            <w:r w:rsidRPr="00D22765">
              <w:rPr>
                <w:szCs w:val="20"/>
                <w:lang w:val="en-GB"/>
              </w:rPr>
              <w:t xml:space="preserve">  1,1 %</w:t>
            </w:r>
          </w:p>
        </w:tc>
      </w:tr>
    </w:tbl>
    <w:p w14:paraId="273D9803" w14:textId="761D996E" w:rsidR="000719FD" w:rsidRPr="00D22765" w:rsidRDefault="000719FD" w:rsidP="003A1318">
      <w:pPr>
        <w:jc w:val="both"/>
        <w:outlineLvl w:val="0"/>
        <w:rPr>
          <w:b/>
          <w:lang w:val="en-GB"/>
        </w:rPr>
      </w:pPr>
    </w:p>
    <w:p w14:paraId="58B189C1" w14:textId="77777777" w:rsidR="00262053" w:rsidRPr="00D22765" w:rsidRDefault="00262053" w:rsidP="00262053">
      <w:pPr>
        <w:jc w:val="both"/>
        <w:rPr>
          <w:lang w:val="en-GB"/>
        </w:rPr>
      </w:pPr>
      <w:r w:rsidRPr="00D22765">
        <w:rPr>
          <w:lang w:val="en-GB"/>
        </w:rPr>
        <w:t xml:space="preserve">A meaningful comparison of overnight stays can be made by comparing the results for 2022 with the record year of 2019. </w:t>
      </w:r>
    </w:p>
    <w:p w14:paraId="2DFE864F" w14:textId="77777777" w:rsidR="00262053" w:rsidRPr="00D22765" w:rsidRDefault="00262053" w:rsidP="00262053">
      <w:pPr>
        <w:jc w:val="both"/>
        <w:rPr>
          <w:lang w:val="en-GB"/>
        </w:rPr>
      </w:pPr>
    </w:p>
    <w:p w14:paraId="18734C55" w14:textId="77777777" w:rsidR="00262053" w:rsidRPr="00D22765" w:rsidRDefault="00262053" w:rsidP="00262053">
      <w:pPr>
        <w:jc w:val="both"/>
        <w:rPr>
          <w:lang w:val="en-GB"/>
        </w:rPr>
      </w:pPr>
      <w:r w:rsidRPr="00D22765">
        <w:rPr>
          <w:lang w:val="en-GB"/>
        </w:rPr>
        <w:t>Not least due to the international restrictions in the travel industry, the top 10 countries of origin are dominated by the local markets in comparison to 2019. Austrian guests recorded the most overnight stays with 756,041 (compared with 745,233 in 2019), followed by our neighbours from Germany (694,758 overnight stays compared with 643,105 in 2019). With 209,633 overnight stays, the USA is the only long-distance market to occupy third place in the top ranks. Italy (78,160 overnight stays) and the United Kingdom (77,630) follow at a considerable distance.</w:t>
      </w:r>
    </w:p>
    <w:p w14:paraId="1A44253C" w14:textId="77777777" w:rsidR="00262053" w:rsidRPr="00D22765" w:rsidRDefault="00262053" w:rsidP="00262053">
      <w:pPr>
        <w:jc w:val="both"/>
        <w:rPr>
          <w:lang w:val="en-GB"/>
        </w:rPr>
      </w:pPr>
    </w:p>
    <w:p w14:paraId="70018FA0" w14:textId="3497C306" w:rsidR="00470A26" w:rsidRPr="00D22765" w:rsidRDefault="00470A26" w:rsidP="00B1123A">
      <w:pPr>
        <w:jc w:val="both"/>
        <w:rPr>
          <w:lang w:val="en-GB"/>
        </w:rPr>
      </w:pPr>
    </w:p>
    <w:p w14:paraId="3D2194B2" w14:textId="4C52507F" w:rsidR="00262053" w:rsidRPr="00D22765" w:rsidRDefault="00262053" w:rsidP="00B1123A">
      <w:pPr>
        <w:jc w:val="both"/>
        <w:rPr>
          <w:lang w:val="en-GB"/>
        </w:rPr>
      </w:pPr>
    </w:p>
    <w:p w14:paraId="0CE6FE31" w14:textId="46605689" w:rsidR="00262053" w:rsidRPr="00D22765" w:rsidRDefault="00262053" w:rsidP="00B1123A">
      <w:pPr>
        <w:jc w:val="both"/>
        <w:rPr>
          <w:lang w:val="en-GB"/>
        </w:rPr>
      </w:pPr>
    </w:p>
    <w:p w14:paraId="78E492F1" w14:textId="77777777" w:rsidR="00262053" w:rsidRPr="00D22765" w:rsidRDefault="00262053" w:rsidP="00B1123A">
      <w:pPr>
        <w:jc w:val="both"/>
        <w:rPr>
          <w:lang w:val="en-GB"/>
        </w:rPr>
      </w:pPr>
    </w:p>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01"/>
        <w:gridCol w:w="1134"/>
        <w:gridCol w:w="1984"/>
        <w:gridCol w:w="1209"/>
        <w:gridCol w:w="1201"/>
      </w:tblGrid>
      <w:tr w:rsidR="001200E2" w:rsidRPr="00D22765" w14:paraId="1F281A94" w14:textId="77777777" w:rsidTr="001200E2">
        <w:trPr>
          <w:trHeight w:val="418"/>
        </w:trPr>
        <w:tc>
          <w:tcPr>
            <w:tcW w:w="2127" w:type="dxa"/>
            <w:tcBorders>
              <w:bottom w:val="single" w:sz="4" w:space="0" w:color="auto"/>
            </w:tcBorders>
            <w:shd w:val="clear" w:color="auto" w:fill="D9D9D9"/>
          </w:tcPr>
          <w:p w14:paraId="395FFA2D" w14:textId="77777777" w:rsidR="001200E2" w:rsidRPr="00D22765" w:rsidRDefault="001200E2" w:rsidP="00B64B9E">
            <w:pPr>
              <w:spacing w:before="120"/>
              <w:jc w:val="both"/>
              <w:rPr>
                <w:b/>
                <w:lang w:val="en-GB"/>
              </w:rPr>
            </w:pPr>
            <w:bookmarkStart w:id="1" w:name="_Hlk97190721"/>
            <w:r w:rsidRPr="00D22765">
              <w:rPr>
                <w:b/>
                <w:lang w:val="en-GB"/>
              </w:rPr>
              <w:lastRenderedPageBreak/>
              <w:t>2022</w:t>
            </w:r>
          </w:p>
        </w:tc>
        <w:tc>
          <w:tcPr>
            <w:tcW w:w="1201" w:type="dxa"/>
            <w:tcBorders>
              <w:bottom w:val="single" w:sz="4" w:space="0" w:color="auto"/>
            </w:tcBorders>
            <w:shd w:val="clear" w:color="auto" w:fill="D9D9D9"/>
          </w:tcPr>
          <w:p w14:paraId="320D6E16" w14:textId="0A544B12" w:rsidR="001200E2" w:rsidRPr="00D22765" w:rsidRDefault="001200E2" w:rsidP="00B64B9E">
            <w:pPr>
              <w:spacing w:before="120"/>
              <w:jc w:val="both"/>
              <w:rPr>
                <w:b/>
                <w:lang w:val="en-GB"/>
              </w:rPr>
            </w:pPr>
            <w:r w:rsidRPr="00D22765">
              <w:rPr>
                <w:b/>
                <w:lang w:val="en-GB"/>
              </w:rPr>
              <w:t>absolute</w:t>
            </w:r>
          </w:p>
        </w:tc>
        <w:tc>
          <w:tcPr>
            <w:tcW w:w="1134" w:type="dxa"/>
            <w:tcBorders>
              <w:bottom w:val="single" w:sz="4" w:space="0" w:color="auto"/>
            </w:tcBorders>
            <w:shd w:val="clear" w:color="auto" w:fill="D9D9D9"/>
          </w:tcPr>
          <w:p w14:paraId="4844FE62" w14:textId="24A5F38A" w:rsidR="001200E2" w:rsidRPr="00D22765" w:rsidRDefault="001200E2" w:rsidP="00B64B9E">
            <w:pPr>
              <w:spacing w:before="120"/>
              <w:jc w:val="both"/>
              <w:rPr>
                <w:b/>
                <w:lang w:val="en-GB"/>
              </w:rPr>
            </w:pPr>
            <w:r w:rsidRPr="00D22765">
              <w:rPr>
                <w:b/>
                <w:lang w:val="en-GB"/>
              </w:rPr>
              <w:t>share in %</w:t>
            </w:r>
          </w:p>
        </w:tc>
        <w:tc>
          <w:tcPr>
            <w:tcW w:w="1984" w:type="dxa"/>
            <w:tcBorders>
              <w:bottom w:val="single" w:sz="4" w:space="0" w:color="auto"/>
            </w:tcBorders>
            <w:shd w:val="clear" w:color="auto" w:fill="D9D9D9"/>
          </w:tcPr>
          <w:p w14:paraId="19DFDEE1" w14:textId="77777777" w:rsidR="001200E2" w:rsidRPr="00D22765" w:rsidRDefault="001200E2" w:rsidP="00B64B9E">
            <w:pPr>
              <w:spacing w:before="120"/>
              <w:jc w:val="both"/>
              <w:rPr>
                <w:b/>
                <w:lang w:val="en-GB"/>
              </w:rPr>
            </w:pPr>
            <w:r w:rsidRPr="00D22765">
              <w:rPr>
                <w:b/>
                <w:lang w:val="en-GB"/>
              </w:rPr>
              <w:t>2019</w:t>
            </w:r>
          </w:p>
        </w:tc>
        <w:tc>
          <w:tcPr>
            <w:tcW w:w="1209" w:type="dxa"/>
            <w:tcBorders>
              <w:bottom w:val="single" w:sz="4" w:space="0" w:color="auto"/>
            </w:tcBorders>
            <w:shd w:val="clear" w:color="auto" w:fill="D9D9D9"/>
          </w:tcPr>
          <w:p w14:paraId="3C761915" w14:textId="5ED0ABC2" w:rsidR="001200E2" w:rsidRPr="00D22765" w:rsidRDefault="001200E2" w:rsidP="00B64B9E">
            <w:pPr>
              <w:spacing w:before="120"/>
              <w:jc w:val="both"/>
              <w:rPr>
                <w:b/>
                <w:lang w:val="en-GB"/>
              </w:rPr>
            </w:pPr>
            <w:r w:rsidRPr="00D22765">
              <w:rPr>
                <w:b/>
                <w:lang w:val="en-GB"/>
              </w:rPr>
              <w:t>absolute</w:t>
            </w:r>
          </w:p>
        </w:tc>
        <w:tc>
          <w:tcPr>
            <w:tcW w:w="1201" w:type="dxa"/>
            <w:tcBorders>
              <w:bottom w:val="single" w:sz="4" w:space="0" w:color="auto"/>
            </w:tcBorders>
            <w:shd w:val="clear" w:color="auto" w:fill="D9D9D9"/>
          </w:tcPr>
          <w:p w14:paraId="19AD0F13" w14:textId="75F188EC" w:rsidR="001200E2" w:rsidRPr="00D22765" w:rsidRDefault="00985C6A" w:rsidP="00B64B9E">
            <w:pPr>
              <w:spacing w:before="120"/>
              <w:jc w:val="both"/>
              <w:rPr>
                <w:b/>
                <w:lang w:val="en-GB"/>
              </w:rPr>
            </w:pPr>
            <w:r>
              <w:rPr>
                <w:b/>
                <w:lang w:val="en-GB"/>
              </w:rPr>
              <w:t>s</w:t>
            </w:r>
            <w:r w:rsidR="001200E2" w:rsidRPr="00D22765">
              <w:rPr>
                <w:b/>
                <w:lang w:val="en-GB"/>
              </w:rPr>
              <w:t>hare in %</w:t>
            </w:r>
          </w:p>
        </w:tc>
      </w:tr>
      <w:tr w:rsidR="001200E2" w:rsidRPr="00D22765" w14:paraId="68C14272" w14:textId="77777777" w:rsidTr="001200E2">
        <w:trPr>
          <w:trHeight w:val="167"/>
        </w:trPr>
        <w:tc>
          <w:tcPr>
            <w:tcW w:w="2127" w:type="dxa"/>
            <w:tcBorders>
              <w:bottom w:val="nil"/>
            </w:tcBorders>
            <w:shd w:val="clear" w:color="auto" w:fill="FFFFFF"/>
          </w:tcPr>
          <w:p w14:paraId="60906EF7" w14:textId="77777777" w:rsidR="001200E2" w:rsidRPr="00D22765" w:rsidRDefault="001200E2" w:rsidP="00B64B9E">
            <w:pPr>
              <w:spacing w:before="120"/>
              <w:jc w:val="both"/>
              <w:rPr>
                <w:b/>
                <w:lang w:val="en-GB"/>
              </w:rPr>
            </w:pPr>
          </w:p>
        </w:tc>
        <w:tc>
          <w:tcPr>
            <w:tcW w:w="1201" w:type="dxa"/>
            <w:tcBorders>
              <w:bottom w:val="nil"/>
            </w:tcBorders>
            <w:shd w:val="clear" w:color="auto" w:fill="FFFFFF"/>
          </w:tcPr>
          <w:p w14:paraId="1FFDD359" w14:textId="77777777" w:rsidR="001200E2" w:rsidRPr="00D22765" w:rsidRDefault="001200E2" w:rsidP="00B64B9E">
            <w:pPr>
              <w:spacing w:before="120"/>
              <w:jc w:val="both"/>
              <w:rPr>
                <w:b/>
                <w:lang w:val="en-GB"/>
              </w:rPr>
            </w:pPr>
          </w:p>
        </w:tc>
        <w:tc>
          <w:tcPr>
            <w:tcW w:w="1134" w:type="dxa"/>
            <w:tcBorders>
              <w:bottom w:val="nil"/>
            </w:tcBorders>
            <w:shd w:val="clear" w:color="auto" w:fill="FFFFFF"/>
          </w:tcPr>
          <w:p w14:paraId="67A1BA19" w14:textId="77777777" w:rsidR="001200E2" w:rsidRPr="00D22765" w:rsidRDefault="001200E2" w:rsidP="00B64B9E">
            <w:pPr>
              <w:spacing w:before="120"/>
              <w:jc w:val="both"/>
              <w:rPr>
                <w:b/>
                <w:lang w:val="en-GB"/>
              </w:rPr>
            </w:pPr>
          </w:p>
        </w:tc>
        <w:tc>
          <w:tcPr>
            <w:tcW w:w="1984" w:type="dxa"/>
            <w:tcBorders>
              <w:bottom w:val="nil"/>
            </w:tcBorders>
            <w:shd w:val="clear" w:color="auto" w:fill="FFFFFF"/>
          </w:tcPr>
          <w:p w14:paraId="426D36D6" w14:textId="77777777" w:rsidR="001200E2" w:rsidRPr="00D22765" w:rsidRDefault="001200E2" w:rsidP="00B64B9E">
            <w:pPr>
              <w:spacing w:before="120"/>
              <w:jc w:val="both"/>
              <w:rPr>
                <w:b/>
                <w:lang w:val="en-GB"/>
              </w:rPr>
            </w:pPr>
          </w:p>
        </w:tc>
        <w:tc>
          <w:tcPr>
            <w:tcW w:w="1209" w:type="dxa"/>
            <w:tcBorders>
              <w:bottom w:val="nil"/>
            </w:tcBorders>
            <w:shd w:val="clear" w:color="auto" w:fill="FFFFFF"/>
          </w:tcPr>
          <w:p w14:paraId="72DD7CD7" w14:textId="77777777" w:rsidR="001200E2" w:rsidRPr="00D22765" w:rsidRDefault="001200E2" w:rsidP="00B64B9E">
            <w:pPr>
              <w:spacing w:before="120"/>
              <w:jc w:val="both"/>
              <w:rPr>
                <w:b/>
                <w:lang w:val="en-GB"/>
              </w:rPr>
            </w:pPr>
          </w:p>
        </w:tc>
        <w:tc>
          <w:tcPr>
            <w:tcW w:w="1201" w:type="dxa"/>
            <w:tcBorders>
              <w:bottom w:val="nil"/>
            </w:tcBorders>
            <w:shd w:val="clear" w:color="auto" w:fill="FFFFFF"/>
          </w:tcPr>
          <w:p w14:paraId="360B40C9" w14:textId="77777777" w:rsidR="001200E2" w:rsidRPr="00D22765" w:rsidRDefault="001200E2" w:rsidP="00B64B9E">
            <w:pPr>
              <w:spacing w:before="120"/>
              <w:jc w:val="both"/>
              <w:rPr>
                <w:b/>
                <w:lang w:val="en-GB"/>
              </w:rPr>
            </w:pPr>
          </w:p>
        </w:tc>
      </w:tr>
      <w:tr w:rsidR="001200E2" w:rsidRPr="00D22765" w14:paraId="497930B8" w14:textId="77777777" w:rsidTr="001200E2">
        <w:trPr>
          <w:trHeight w:val="290"/>
        </w:trPr>
        <w:tc>
          <w:tcPr>
            <w:tcW w:w="2127" w:type="dxa"/>
            <w:tcBorders>
              <w:top w:val="nil"/>
            </w:tcBorders>
          </w:tcPr>
          <w:p w14:paraId="591F110A" w14:textId="3B82DD8E" w:rsidR="001200E2" w:rsidRPr="00985C6A" w:rsidRDefault="001200E2" w:rsidP="00B64B9E">
            <w:pPr>
              <w:spacing w:after="40" w:line="360" w:lineRule="auto"/>
              <w:jc w:val="both"/>
              <w:rPr>
                <w:lang w:val="de-DE"/>
              </w:rPr>
            </w:pPr>
            <w:r w:rsidRPr="00985C6A">
              <w:rPr>
                <w:lang w:val="de-DE"/>
              </w:rPr>
              <w:t>1. Austria</w:t>
            </w:r>
          </w:p>
          <w:p w14:paraId="17DD8F9E" w14:textId="556CFFA9" w:rsidR="001200E2" w:rsidRPr="00985C6A" w:rsidRDefault="001200E2" w:rsidP="00B64B9E">
            <w:pPr>
              <w:spacing w:after="40" w:line="360" w:lineRule="auto"/>
              <w:jc w:val="both"/>
              <w:rPr>
                <w:lang w:val="de-DE"/>
              </w:rPr>
            </w:pPr>
            <w:r w:rsidRPr="00985C6A">
              <w:rPr>
                <w:lang w:val="de-DE"/>
              </w:rPr>
              <w:t>2. Germany</w:t>
            </w:r>
          </w:p>
          <w:p w14:paraId="29DB51DA" w14:textId="77777777" w:rsidR="001200E2" w:rsidRPr="00985C6A" w:rsidRDefault="001200E2" w:rsidP="00B64B9E">
            <w:pPr>
              <w:spacing w:after="40" w:line="360" w:lineRule="auto"/>
              <w:jc w:val="both"/>
              <w:rPr>
                <w:lang w:val="de-DE"/>
              </w:rPr>
            </w:pPr>
            <w:r w:rsidRPr="00985C6A">
              <w:rPr>
                <w:lang w:val="de-DE"/>
              </w:rPr>
              <w:t>3. USA</w:t>
            </w:r>
          </w:p>
          <w:p w14:paraId="5DDFED8A" w14:textId="6D2ECE57" w:rsidR="001200E2" w:rsidRPr="00985C6A" w:rsidRDefault="001200E2" w:rsidP="00B64B9E">
            <w:pPr>
              <w:spacing w:after="40" w:line="360" w:lineRule="auto"/>
              <w:jc w:val="both"/>
              <w:rPr>
                <w:lang w:val="de-DE"/>
              </w:rPr>
            </w:pPr>
            <w:r w:rsidRPr="00985C6A">
              <w:rPr>
                <w:lang w:val="de-DE"/>
              </w:rPr>
              <w:t xml:space="preserve">4. </w:t>
            </w:r>
            <w:proofErr w:type="spellStart"/>
            <w:r w:rsidRPr="00985C6A">
              <w:rPr>
                <w:lang w:val="de-DE"/>
              </w:rPr>
              <w:t>Italy</w:t>
            </w:r>
            <w:proofErr w:type="spellEnd"/>
          </w:p>
          <w:p w14:paraId="72A89CB3" w14:textId="77777777" w:rsidR="001200E2" w:rsidRPr="00985C6A" w:rsidRDefault="001200E2" w:rsidP="00B64B9E">
            <w:pPr>
              <w:spacing w:after="40" w:line="360" w:lineRule="auto"/>
              <w:jc w:val="both"/>
              <w:rPr>
                <w:lang w:val="de-DE"/>
              </w:rPr>
            </w:pPr>
            <w:r w:rsidRPr="00985C6A">
              <w:rPr>
                <w:lang w:val="de-DE"/>
              </w:rPr>
              <w:t xml:space="preserve">5. UK </w:t>
            </w:r>
          </w:p>
          <w:p w14:paraId="49906980" w14:textId="42554F90" w:rsidR="001200E2" w:rsidRPr="00985C6A" w:rsidRDefault="001200E2" w:rsidP="00B64B9E">
            <w:pPr>
              <w:spacing w:after="40" w:line="360" w:lineRule="auto"/>
              <w:jc w:val="both"/>
              <w:rPr>
                <w:lang w:val="de-DE"/>
              </w:rPr>
            </w:pPr>
            <w:r w:rsidRPr="00985C6A">
              <w:rPr>
                <w:lang w:val="de-DE"/>
              </w:rPr>
              <w:t xml:space="preserve">6. </w:t>
            </w:r>
            <w:proofErr w:type="spellStart"/>
            <w:r w:rsidRPr="00985C6A">
              <w:rPr>
                <w:lang w:val="de-DE"/>
              </w:rPr>
              <w:t>Switzerland</w:t>
            </w:r>
            <w:proofErr w:type="spellEnd"/>
            <w:r w:rsidRPr="00985C6A">
              <w:rPr>
                <w:lang w:val="de-DE"/>
              </w:rPr>
              <w:t xml:space="preserve"> </w:t>
            </w:r>
          </w:p>
          <w:p w14:paraId="442C31AF" w14:textId="226F9A57" w:rsidR="001200E2" w:rsidRPr="00D22765" w:rsidRDefault="001200E2" w:rsidP="00B64B9E">
            <w:pPr>
              <w:spacing w:after="40" w:line="360" w:lineRule="auto"/>
              <w:jc w:val="both"/>
              <w:rPr>
                <w:lang w:val="en-GB"/>
              </w:rPr>
            </w:pPr>
            <w:r w:rsidRPr="00D22765">
              <w:rPr>
                <w:lang w:val="en-GB"/>
              </w:rPr>
              <w:t>7. Netherlands</w:t>
            </w:r>
          </w:p>
          <w:p w14:paraId="6E7AECC6" w14:textId="72E388C3" w:rsidR="001200E2" w:rsidRPr="00D22765" w:rsidRDefault="001200E2" w:rsidP="00B64B9E">
            <w:pPr>
              <w:spacing w:after="40" w:line="360" w:lineRule="auto"/>
              <w:jc w:val="both"/>
              <w:rPr>
                <w:lang w:val="en-GB"/>
              </w:rPr>
            </w:pPr>
            <w:r w:rsidRPr="00D22765">
              <w:rPr>
                <w:lang w:val="en-GB"/>
              </w:rPr>
              <w:t>8. France</w:t>
            </w:r>
          </w:p>
          <w:p w14:paraId="7CDA5ED6" w14:textId="155C994B" w:rsidR="001200E2" w:rsidRPr="00D22765" w:rsidRDefault="001200E2" w:rsidP="00B64B9E">
            <w:pPr>
              <w:spacing w:after="40" w:line="360" w:lineRule="auto"/>
              <w:jc w:val="both"/>
              <w:rPr>
                <w:lang w:val="en-GB"/>
              </w:rPr>
            </w:pPr>
            <w:r w:rsidRPr="00D22765">
              <w:rPr>
                <w:lang w:val="en-GB"/>
              </w:rPr>
              <w:t xml:space="preserve">9. Spain </w:t>
            </w:r>
          </w:p>
          <w:p w14:paraId="60754222" w14:textId="68D7A99F" w:rsidR="001200E2" w:rsidRPr="00D22765" w:rsidRDefault="001200E2" w:rsidP="00B64B9E">
            <w:pPr>
              <w:spacing w:after="40" w:line="360" w:lineRule="auto"/>
              <w:jc w:val="both"/>
              <w:rPr>
                <w:lang w:val="en-GB"/>
              </w:rPr>
            </w:pPr>
            <w:r w:rsidRPr="00D22765">
              <w:rPr>
                <w:lang w:val="en-GB"/>
              </w:rPr>
              <w:t>10. Czech Republic</w:t>
            </w:r>
          </w:p>
        </w:tc>
        <w:tc>
          <w:tcPr>
            <w:tcW w:w="1201" w:type="dxa"/>
            <w:tcBorders>
              <w:top w:val="nil"/>
            </w:tcBorders>
          </w:tcPr>
          <w:p w14:paraId="0D76FF13" w14:textId="77777777" w:rsidR="001200E2" w:rsidRPr="00D22765" w:rsidRDefault="001200E2" w:rsidP="00B64B9E">
            <w:pPr>
              <w:spacing w:after="40" w:line="360" w:lineRule="auto"/>
              <w:jc w:val="both"/>
              <w:rPr>
                <w:lang w:val="en-GB"/>
              </w:rPr>
            </w:pPr>
            <w:r w:rsidRPr="00D22765">
              <w:rPr>
                <w:lang w:val="en-GB"/>
              </w:rPr>
              <w:t>756.041</w:t>
            </w:r>
          </w:p>
          <w:p w14:paraId="292444E2" w14:textId="77777777" w:rsidR="001200E2" w:rsidRPr="00D22765" w:rsidRDefault="001200E2" w:rsidP="00B64B9E">
            <w:pPr>
              <w:spacing w:after="40" w:line="360" w:lineRule="auto"/>
              <w:jc w:val="both"/>
              <w:rPr>
                <w:lang w:val="en-GB"/>
              </w:rPr>
            </w:pPr>
            <w:r w:rsidRPr="00D22765">
              <w:rPr>
                <w:lang w:val="en-GB"/>
              </w:rPr>
              <w:t>694.758</w:t>
            </w:r>
          </w:p>
          <w:p w14:paraId="6F7368CB" w14:textId="77777777" w:rsidR="001200E2" w:rsidRPr="00D22765" w:rsidRDefault="001200E2" w:rsidP="00B64B9E">
            <w:pPr>
              <w:spacing w:after="40" w:line="360" w:lineRule="auto"/>
              <w:jc w:val="both"/>
              <w:rPr>
                <w:lang w:val="en-GB"/>
              </w:rPr>
            </w:pPr>
            <w:r w:rsidRPr="00D22765">
              <w:rPr>
                <w:lang w:val="en-GB"/>
              </w:rPr>
              <w:t>209.633</w:t>
            </w:r>
          </w:p>
          <w:p w14:paraId="398813A8" w14:textId="77777777" w:rsidR="001200E2" w:rsidRPr="00D22765" w:rsidRDefault="001200E2" w:rsidP="00B64B9E">
            <w:pPr>
              <w:spacing w:after="40" w:line="360" w:lineRule="auto"/>
              <w:jc w:val="both"/>
              <w:rPr>
                <w:lang w:val="en-GB"/>
              </w:rPr>
            </w:pPr>
            <w:r w:rsidRPr="00D22765">
              <w:rPr>
                <w:lang w:val="en-GB"/>
              </w:rPr>
              <w:t xml:space="preserve">  78.160</w:t>
            </w:r>
          </w:p>
          <w:p w14:paraId="3466DAB1" w14:textId="77777777" w:rsidR="001200E2" w:rsidRPr="00D22765" w:rsidRDefault="001200E2" w:rsidP="00B64B9E">
            <w:pPr>
              <w:spacing w:after="40" w:line="360" w:lineRule="auto"/>
              <w:jc w:val="both"/>
              <w:rPr>
                <w:lang w:val="en-GB"/>
              </w:rPr>
            </w:pPr>
            <w:r w:rsidRPr="00D22765">
              <w:rPr>
                <w:lang w:val="en-GB"/>
              </w:rPr>
              <w:t xml:space="preserve">  77.630</w:t>
            </w:r>
          </w:p>
          <w:p w14:paraId="68E076CA" w14:textId="77777777" w:rsidR="001200E2" w:rsidRPr="00D22765" w:rsidRDefault="001200E2" w:rsidP="00B64B9E">
            <w:pPr>
              <w:spacing w:after="40" w:line="360" w:lineRule="auto"/>
              <w:jc w:val="both"/>
              <w:rPr>
                <w:lang w:val="en-GB"/>
              </w:rPr>
            </w:pPr>
            <w:r w:rsidRPr="00D22765">
              <w:rPr>
                <w:lang w:val="en-GB"/>
              </w:rPr>
              <w:t xml:space="preserve">  74.033</w:t>
            </w:r>
          </w:p>
          <w:p w14:paraId="063A0FF5" w14:textId="77777777" w:rsidR="001200E2" w:rsidRPr="00D22765" w:rsidRDefault="001200E2" w:rsidP="00B64B9E">
            <w:pPr>
              <w:spacing w:after="40" w:line="360" w:lineRule="auto"/>
              <w:jc w:val="both"/>
              <w:rPr>
                <w:lang w:val="en-GB"/>
              </w:rPr>
            </w:pPr>
            <w:r w:rsidRPr="00D22765">
              <w:rPr>
                <w:lang w:val="en-GB"/>
              </w:rPr>
              <w:t xml:space="preserve">  56.322</w:t>
            </w:r>
          </w:p>
          <w:p w14:paraId="7C82E50B" w14:textId="77777777" w:rsidR="001200E2" w:rsidRPr="00D22765" w:rsidRDefault="001200E2" w:rsidP="00B64B9E">
            <w:pPr>
              <w:spacing w:after="40" w:line="360" w:lineRule="auto"/>
              <w:jc w:val="both"/>
              <w:rPr>
                <w:lang w:val="en-GB"/>
              </w:rPr>
            </w:pPr>
            <w:r w:rsidRPr="00D22765">
              <w:rPr>
                <w:lang w:val="en-GB"/>
              </w:rPr>
              <w:t xml:space="preserve">  37.560</w:t>
            </w:r>
          </w:p>
          <w:p w14:paraId="4499DC4B" w14:textId="77777777" w:rsidR="001200E2" w:rsidRPr="00D22765" w:rsidRDefault="001200E2" w:rsidP="00B64B9E">
            <w:pPr>
              <w:spacing w:after="40" w:line="360" w:lineRule="auto"/>
              <w:jc w:val="both"/>
              <w:rPr>
                <w:lang w:val="en-GB"/>
              </w:rPr>
            </w:pPr>
            <w:r w:rsidRPr="00D22765">
              <w:rPr>
                <w:lang w:val="en-GB"/>
              </w:rPr>
              <w:t xml:space="preserve">  35.704</w:t>
            </w:r>
          </w:p>
          <w:p w14:paraId="5DA5087A" w14:textId="77777777" w:rsidR="001200E2" w:rsidRPr="00D22765" w:rsidRDefault="001200E2" w:rsidP="00B64B9E">
            <w:pPr>
              <w:spacing w:after="40" w:line="360" w:lineRule="auto"/>
              <w:jc w:val="both"/>
              <w:rPr>
                <w:lang w:val="en-GB"/>
              </w:rPr>
            </w:pPr>
            <w:r w:rsidRPr="00D22765">
              <w:rPr>
                <w:lang w:val="en-GB"/>
              </w:rPr>
              <w:t xml:space="preserve">  33.498</w:t>
            </w:r>
          </w:p>
        </w:tc>
        <w:tc>
          <w:tcPr>
            <w:tcW w:w="1134" w:type="dxa"/>
            <w:tcBorders>
              <w:top w:val="nil"/>
            </w:tcBorders>
          </w:tcPr>
          <w:p w14:paraId="1F432B5B" w14:textId="77777777" w:rsidR="001200E2" w:rsidRPr="00D22765" w:rsidRDefault="001200E2" w:rsidP="00B64B9E">
            <w:pPr>
              <w:spacing w:after="40" w:line="360" w:lineRule="auto"/>
              <w:jc w:val="both"/>
              <w:rPr>
                <w:lang w:val="en-GB"/>
              </w:rPr>
            </w:pPr>
            <w:r w:rsidRPr="00D22765">
              <w:rPr>
                <w:lang w:val="en-GB"/>
              </w:rPr>
              <w:t>28,7 %</w:t>
            </w:r>
          </w:p>
          <w:p w14:paraId="6EE2FF46" w14:textId="77777777" w:rsidR="001200E2" w:rsidRPr="00D22765" w:rsidRDefault="001200E2" w:rsidP="00B64B9E">
            <w:pPr>
              <w:spacing w:after="40" w:line="360" w:lineRule="auto"/>
              <w:jc w:val="both"/>
              <w:rPr>
                <w:lang w:val="en-GB"/>
              </w:rPr>
            </w:pPr>
            <w:r w:rsidRPr="00D22765">
              <w:rPr>
                <w:lang w:val="en-GB"/>
              </w:rPr>
              <w:t>26,1 %</w:t>
            </w:r>
          </w:p>
          <w:p w14:paraId="156809A2" w14:textId="77777777" w:rsidR="001200E2" w:rsidRPr="00D22765" w:rsidRDefault="001200E2" w:rsidP="00B64B9E">
            <w:pPr>
              <w:spacing w:after="40" w:line="360" w:lineRule="auto"/>
              <w:jc w:val="both"/>
              <w:rPr>
                <w:lang w:val="en-GB"/>
              </w:rPr>
            </w:pPr>
            <w:r w:rsidRPr="00D22765">
              <w:rPr>
                <w:lang w:val="en-GB"/>
              </w:rPr>
              <w:t xml:space="preserve">  8,0 %</w:t>
            </w:r>
          </w:p>
          <w:p w14:paraId="5346403A" w14:textId="77777777" w:rsidR="001200E2" w:rsidRPr="00D22765" w:rsidRDefault="001200E2" w:rsidP="00B64B9E">
            <w:pPr>
              <w:spacing w:after="40" w:line="360" w:lineRule="auto"/>
              <w:jc w:val="both"/>
              <w:rPr>
                <w:lang w:val="en-GB"/>
              </w:rPr>
            </w:pPr>
            <w:r w:rsidRPr="00D22765">
              <w:rPr>
                <w:lang w:val="en-GB"/>
              </w:rPr>
              <w:t xml:space="preserve">  3,0 %</w:t>
            </w:r>
          </w:p>
          <w:p w14:paraId="491AC9A3" w14:textId="77777777" w:rsidR="001200E2" w:rsidRPr="00D22765" w:rsidRDefault="001200E2" w:rsidP="00B64B9E">
            <w:pPr>
              <w:spacing w:after="40" w:line="360" w:lineRule="auto"/>
              <w:jc w:val="both"/>
              <w:rPr>
                <w:lang w:val="en-GB"/>
              </w:rPr>
            </w:pPr>
            <w:r w:rsidRPr="00D22765">
              <w:rPr>
                <w:lang w:val="en-GB"/>
              </w:rPr>
              <w:t xml:space="preserve">  3,0 %</w:t>
            </w:r>
          </w:p>
          <w:p w14:paraId="23B64084" w14:textId="77777777" w:rsidR="001200E2" w:rsidRPr="00D22765" w:rsidRDefault="001200E2" w:rsidP="00B64B9E">
            <w:pPr>
              <w:spacing w:after="40" w:line="360" w:lineRule="auto"/>
              <w:jc w:val="both"/>
              <w:rPr>
                <w:lang w:val="en-GB"/>
              </w:rPr>
            </w:pPr>
            <w:r w:rsidRPr="00D22765">
              <w:rPr>
                <w:lang w:val="en-GB"/>
              </w:rPr>
              <w:t xml:space="preserve">  2,8 %</w:t>
            </w:r>
          </w:p>
          <w:p w14:paraId="21D5DAAD" w14:textId="77777777" w:rsidR="001200E2" w:rsidRPr="00D22765" w:rsidRDefault="001200E2" w:rsidP="00B64B9E">
            <w:pPr>
              <w:spacing w:after="40" w:line="360" w:lineRule="auto"/>
              <w:jc w:val="both"/>
              <w:rPr>
                <w:lang w:val="en-GB"/>
              </w:rPr>
            </w:pPr>
            <w:r w:rsidRPr="00D22765">
              <w:rPr>
                <w:lang w:val="en-GB"/>
              </w:rPr>
              <w:t xml:space="preserve">  2,1 %</w:t>
            </w:r>
          </w:p>
          <w:p w14:paraId="2432E6B5" w14:textId="77777777" w:rsidR="001200E2" w:rsidRPr="00D22765" w:rsidRDefault="001200E2" w:rsidP="00B64B9E">
            <w:pPr>
              <w:spacing w:after="40" w:line="360" w:lineRule="auto"/>
              <w:jc w:val="both"/>
              <w:rPr>
                <w:lang w:val="en-GB"/>
              </w:rPr>
            </w:pPr>
            <w:r w:rsidRPr="00D22765">
              <w:rPr>
                <w:lang w:val="en-GB"/>
              </w:rPr>
              <w:t xml:space="preserve">  1,4 %</w:t>
            </w:r>
          </w:p>
          <w:p w14:paraId="4FC968A6" w14:textId="77777777" w:rsidR="001200E2" w:rsidRPr="00D22765" w:rsidRDefault="001200E2" w:rsidP="00B64B9E">
            <w:pPr>
              <w:spacing w:after="40" w:line="360" w:lineRule="auto"/>
              <w:jc w:val="both"/>
              <w:rPr>
                <w:lang w:val="en-GB"/>
              </w:rPr>
            </w:pPr>
            <w:r w:rsidRPr="00D22765">
              <w:rPr>
                <w:lang w:val="en-GB"/>
              </w:rPr>
              <w:t xml:space="preserve">  1,4 %</w:t>
            </w:r>
          </w:p>
          <w:p w14:paraId="7CC0794C" w14:textId="77777777" w:rsidR="001200E2" w:rsidRPr="00D22765" w:rsidRDefault="001200E2" w:rsidP="00B64B9E">
            <w:pPr>
              <w:spacing w:after="40" w:line="360" w:lineRule="auto"/>
              <w:jc w:val="both"/>
              <w:rPr>
                <w:lang w:val="en-GB"/>
              </w:rPr>
            </w:pPr>
            <w:r w:rsidRPr="00D22765">
              <w:rPr>
                <w:lang w:val="en-GB"/>
              </w:rPr>
              <w:t xml:space="preserve">  1,3 %</w:t>
            </w:r>
          </w:p>
        </w:tc>
        <w:tc>
          <w:tcPr>
            <w:tcW w:w="1984" w:type="dxa"/>
            <w:tcBorders>
              <w:top w:val="nil"/>
            </w:tcBorders>
          </w:tcPr>
          <w:p w14:paraId="7EFA665F" w14:textId="0D53B428" w:rsidR="001200E2" w:rsidRPr="00D22765" w:rsidRDefault="001200E2" w:rsidP="00B64B9E">
            <w:pPr>
              <w:spacing w:after="40" w:line="360" w:lineRule="auto"/>
              <w:jc w:val="both"/>
              <w:rPr>
                <w:lang w:val="en-GB"/>
              </w:rPr>
            </w:pPr>
            <w:r w:rsidRPr="00D22765">
              <w:rPr>
                <w:lang w:val="en-GB"/>
              </w:rPr>
              <w:t>1. Austria</w:t>
            </w:r>
          </w:p>
          <w:p w14:paraId="67363DD3" w14:textId="0FA2CF1E" w:rsidR="001200E2" w:rsidRPr="00D22765" w:rsidRDefault="001200E2" w:rsidP="00B64B9E">
            <w:pPr>
              <w:spacing w:after="40" w:line="360" w:lineRule="auto"/>
              <w:jc w:val="both"/>
              <w:rPr>
                <w:lang w:val="en-GB"/>
              </w:rPr>
            </w:pPr>
            <w:r w:rsidRPr="00D22765">
              <w:rPr>
                <w:lang w:val="en-GB"/>
              </w:rPr>
              <w:t>2. Germany</w:t>
            </w:r>
          </w:p>
          <w:p w14:paraId="26EEB679" w14:textId="77777777" w:rsidR="001200E2" w:rsidRPr="00D22765" w:rsidRDefault="001200E2" w:rsidP="00B64B9E">
            <w:pPr>
              <w:spacing w:after="40" w:line="360" w:lineRule="auto"/>
              <w:jc w:val="both"/>
              <w:rPr>
                <w:lang w:val="en-GB"/>
              </w:rPr>
            </w:pPr>
            <w:r w:rsidRPr="00D22765">
              <w:rPr>
                <w:lang w:val="en-GB"/>
              </w:rPr>
              <w:t>3. USA</w:t>
            </w:r>
          </w:p>
          <w:p w14:paraId="2EDB0C3C" w14:textId="77777777" w:rsidR="001200E2" w:rsidRPr="00D22765" w:rsidRDefault="001200E2" w:rsidP="00B64B9E">
            <w:pPr>
              <w:spacing w:after="40" w:line="360" w:lineRule="auto"/>
              <w:jc w:val="both"/>
              <w:rPr>
                <w:lang w:val="en-GB"/>
              </w:rPr>
            </w:pPr>
            <w:r w:rsidRPr="00D22765">
              <w:rPr>
                <w:lang w:val="en-GB"/>
              </w:rPr>
              <w:t>4. China</w:t>
            </w:r>
          </w:p>
          <w:p w14:paraId="24713031" w14:textId="31C50FCF" w:rsidR="001200E2" w:rsidRPr="00D22765" w:rsidRDefault="001200E2" w:rsidP="00B64B9E">
            <w:pPr>
              <w:spacing w:after="40" w:line="360" w:lineRule="auto"/>
              <w:jc w:val="both"/>
              <w:rPr>
                <w:lang w:val="en-GB"/>
              </w:rPr>
            </w:pPr>
            <w:r w:rsidRPr="00D22765">
              <w:rPr>
                <w:lang w:val="en-GB"/>
              </w:rPr>
              <w:t xml:space="preserve">5. UK </w:t>
            </w:r>
          </w:p>
          <w:p w14:paraId="25528BD6" w14:textId="3AE49DD6" w:rsidR="001200E2" w:rsidRPr="00D22765" w:rsidRDefault="001200E2" w:rsidP="00B64B9E">
            <w:pPr>
              <w:spacing w:after="40" w:line="360" w:lineRule="auto"/>
              <w:jc w:val="both"/>
              <w:rPr>
                <w:lang w:val="en-GB"/>
              </w:rPr>
            </w:pPr>
            <w:r w:rsidRPr="00D22765">
              <w:rPr>
                <w:lang w:val="en-GB"/>
              </w:rPr>
              <w:t xml:space="preserve">6. Italy </w:t>
            </w:r>
          </w:p>
          <w:p w14:paraId="6ACB67E2" w14:textId="6A94435C" w:rsidR="001200E2" w:rsidRPr="00D22765" w:rsidRDefault="001200E2" w:rsidP="00B64B9E">
            <w:pPr>
              <w:spacing w:after="40" w:line="360" w:lineRule="auto"/>
              <w:jc w:val="both"/>
              <w:rPr>
                <w:lang w:val="en-GB"/>
              </w:rPr>
            </w:pPr>
            <w:r w:rsidRPr="00D22765">
              <w:rPr>
                <w:lang w:val="en-GB"/>
              </w:rPr>
              <w:t>7. South Korea</w:t>
            </w:r>
          </w:p>
          <w:p w14:paraId="185D2C76" w14:textId="12DA7BF4" w:rsidR="001200E2" w:rsidRPr="00D22765" w:rsidRDefault="001200E2" w:rsidP="00B64B9E">
            <w:pPr>
              <w:spacing w:after="40" w:line="360" w:lineRule="auto"/>
              <w:jc w:val="both"/>
              <w:rPr>
                <w:lang w:val="en-GB"/>
              </w:rPr>
            </w:pPr>
            <w:r w:rsidRPr="00D22765">
              <w:rPr>
                <w:lang w:val="en-GB"/>
              </w:rPr>
              <w:t>8. Switzerland</w:t>
            </w:r>
          </w:p>
          <w:p w14:paraId="497F58F3" w14:textId="10021098" w:rsidR="001200E2" w:rsidRPr="00D22765" w:rsidRDefault="001200E2" w:rsidP="00B64B9E">
            <w:pPr>
              <w:spacing w:after="40" w:line="360" w:lineRule="auto"/>
              <w:jc w:val="both"/>
              <w:rPr>
                <w:lang w:val="en-GB"/>
              </w:rPr>
            </w:pPr>
            <w:r w:rsidRPr="00D22765">
              <w:rPr>
                <w:lang w:val="en-GB"/>
              </w:rPr>
              <w:t xml:space="preserve">9. Southeast Asia </w:t>
            </w:r>
          </w:p>
          <w:p w14:paraId="358430F4" w14:textId="77777777" w:rsidR="001200E2" w:rsidRPr="00D22765" w:rsidRDefault="001200E2" w:rsidP="00B64B9E">
            <w:pPr>
              <w:spacing w:after="40" w:line="360" w:lineRule="auto"/>
              <w:jc w:val="both"/>
              <w:rPr>
                <w:lang w:val="en-GB"/>
              </w:rPr>
            </w:pPr>
            <w:r w:rsidRPr="00D22765">
              <w:rPr>
                <w:lang w:val="en-GB"/>
              </w:rPr>
              <w:t>10. Japan</w:t>
            </w:r>
          </w:p>
        </w:tc>
        <w:tc>
          <w:tcPr>
            <w:tcW w:w="1209" w:type="dxa"/>
            <w:tcBorders>
              <w:top w:val="nil"/>
            </w:tcBorders>
          </w:tcPr>
          <w:p w14:paraId="2B56CFD7" w14:textId="77777777" w:rsidR="001200E2" w:rsidRPr="00D22765" w:rsidRDefault="001200E2" w:rsidP="00B64B9E">
            <w:pPr>
              <w:spacing w:after="40" w:line="360" w:lineRule="auto"/>
              <w:jc w:val="both"/>
              <w:rPr>
                <w:lang w:val="en-GB"/>
              </w:rPr>
            </w:pPr>
            <w:r w:rsidRPr="00D22765">
              <w:rPr>
                <w:lang w:val="en-GB"/>
              </w:rPr>
              <w:t>745.233</w:t>
            </w:r>
          </w:p>
          <w:p w14:paraId="3C7044B8" w14:textId="77777777" w:rsidR="001200E2" w:rsidRPr="00D22765" w:rsidRDefault="001200E2" w:rsidP="00B64B9E">
            <w:pPr>
              <w:spacing w:after="40" w:line="360" w:lineRule="auto"/>
              <w:jc w:val="both"/>
              <w:rPr>
                <w:lang w:val="en-GB"/>
              </w:rPr>
            </w:pPr>
            <w:r w:rsidRPr="00D22765">
              <w:rPr>
                <w:lang w:val="en-GB"/>
              </w:rPr>
              <w:t>643.105</w:t>
            </w:r>
          </w:p>
          <w:p w14:paraId="3A0929F9" w14:textId="77777777" w:rsidR="001200E2" w:rsidRPr="00D22765" w:rsidRDefault="001200E2" w:rsidP="00B64B9E">
            <w:pPr>
              <w:spacing w:after="40" w:line="360" w:lineRule="auto"/>
              <w:jc w:val="both"/>
              <w:rPr>
                <w:lang w:val="en-GB"/>
              </w:rPr>
            </w:pPr>
            <w:r w:rsidRPr="00D22765">
              <w:rPr>
                <w:lang w:val="en-GB"/>
              </w:rPr>
              <w:t>285.333</w:t>
            </w:r>
          </w:p>
          <w:p w14:paraId="0C9C1B37" w14:textId="77777777" w:rsidR="001200E2" w:rsidRPr="00D22765" w:rsidRDefault="001200E2" w:rsidP="00B64B9E">
            <w:pPr>
              <w:spacing w:after="40" w:line="360" w:lineRule="auto"/>
              <w:jc w:val="both"/>
              <w:rPr>
                <w:lang w:val="en-GB"/>
              </w:rPr>
            </w:pPr>
            <w:r w:rsidRPr="00D22765">
              <w:rPr>
                <w:lang w:val="en-GB"/>
              </w:rPr>
              <w:t>143.061</w:t>
            </w:r>
          </w:p>
          <w:p w14:paraId="5BCCB3B8" w14:textId="77777777" w:rsidR="001200E2" w:rsidRPr="00D22765" w:rsidRDefault="001200E2" w:rsidP="00B64B9E">
            <w:pPr>
              <w:spacing w:after="40" w:line="360" w:lineRule="auto"/>
              <w:jc w:val="both"/>
              <w:rPr>
                <w:lang w:val="en-GB"/>
              </w:rPr>
            </w:pPr>
            <w:r w:rsidRPr="00D22765">
              <w:rPr>
                <w:lang w:val="en-GB"/>
              </w:rPr>
              <w:t>124.516</w:t>
            </w:r>
          </w:p>
          <w:p w14:paraId="57177029" w14:textId="77777777" w:rsidR="001200E2" w:rsidRPr="00D22765" w:rsidRDefault="001200E2" w:rsidP="00B64B9E">
            <w:pPr>
              <w:spacing w:after="40" w:line="360" w:lineRule="auto"/>
              <w:jc w:val="both"/>
              <w:rPr>
                <w:lang w:val="en-GB"/>
              </w:rPr>
            </w:pPr>
            <w:r w:rsidRPr="00D22765">
              <w:rPr>
                <w:lang w:val="en-GB"/>
              </w:rPr>
              <w:t>117.442</w:t>
            </w:r>
          </w:p>
          <w:p w14:paraId="3936B853" w14:textId="77777777" w:rsidR="001200E2" w:rsidRPr="00D22765" w:rsidRDefault="001200E2" w:rsidP="00B64B9E">
            <w:pPr>
              <w:spacing w:after="40" w:line="360" w:lineRule="auto"/>
              <w:jc w:val="both"/>
              <w:rPr>
                <w:lang w:val="en-GB"/>
              </w:rPr>
            </w:pPr>
            <w:r w:rsidRPr="00D22765">
              <w:rPr>
                <w:lang w:val="en-GB"/>
              </w:rPr>
              <w:t xml:space="preserve">  98.056</w:t>
            </w:r>
          </w:p>
          <w:p w14:paraId="034A236B" w14:textId="77777777" w:rsidR="001200E2" w:rsidRPr="00D22765" w:rsidRDefault="001200E2" w:rsidP="00B64B9E">
            <w:pPr>
              <w:spacing w:after="40" w:line="360" w:lineRule="auto"/>
              <w:jc w:val="both"/>
              <w:rPr>
                <w:lang w:val="en-GB"/>
              </w:rPr>
            </w:pPr>
            <w:r w:rsidRPr="00D22765">
              <w:rPr>
                <w:lang w:val="en-GB"/>
              </w:rPr>
              <w:t xml:space="preserve">  89.543</w:t>
            </w:r>
          </w:p>
          <w:p w14:paraId="4E3D7C7D" w14:textId="77777777" w:rsidR="001200E2" w:rsidRPr="00D22765" w:rsidRDefault="001200E2" w:rsidP="00B64B9E">
            <w:pPr>
              <w:spacing w:after="40" w:line="360" w:lineRule="auto"/>
              <w:jc w:val="both"/>
              <w:rPr>
                <w:lang w:val="en-GB"/>
              </w:rPr>
            </w:pPr>
            <w:r w:rsidRPr="00D22765">
              <w:rPr>
                <w:lang w:val="en-GB"/>
              </w:rPr>
              <w:t xml:space="preserve">  70.257</w:t>
            </w:r>
          </w:p>
          <w:p w14:paraId="27DD9F3B" w14:textId="77777777" w:rsidR="001200E2" w:rsidRPr="00D22765" w:rsidRDefault="001200E2" w:rsidP="00B64B9E">
            <w:pPr>
              <w:spacing w:after="40" w:line="360" w:lineRule="auto"/>
              <w:jc w:val="both"/>
              <w:rPr>
                <w:lang w:val="en-GB"/>
              </w:rPr>
            </w:pPr>
            <w:r w:rsidRPr="00D22765">
              <w:rPr>
                <w:lang w:val="en-GB"/>
              </w:rPr>
              <w:t xml:space="preserve">  63.045</w:t>
            </w:r>
          </w:p>
        </w:tc>
        <w:tc>
          <w:tcPr>
            <w:tcW w:w="1201" w:type="dxa"/>
            <w:tcBorders>
              <w:top w:val="nil"/>
            </w:tcBorders>
          </w:tcPr>
          <w:p w14:paraId="7C32606A" w14:textId="77777777" w:rsidR="001200E2" w:rsidRPr="00D22765" w:rsidRDefault="001200E2" w:rsidP="00B64B9E">
            <w:pPr>
              <w:spacing w:after="40" w:line="360" w:lineRule="auto"/>
              <w:jc w:val="both"/>
              <w:rPr>
                <w:lang w:val="en-GB"/>
              </w:rPr>
            </w:pPr>
            <w:r w:rsidRPr="00D22765">
              <w:rPr>
                <w:lang w:val="en-GB"/>
              </w:rPr>
              <w:t>22,5 %</w:t>
            </w:r>
          </w:p>
          <w:p w14:paraId="33A9B560" w14:textId="77777777" w:rsidR="001200E2" w:rsidRPr="00D22765" w:rsidRDefault="001200E2" w:rsidP="00B64B9E">
            <w:pPr>
              <w:spacing w:after="40" w:line="360" w:lineRule="auto"/>
              <w:jc w:val="both"/>
              <w:rPr>
                <w:lang w:val="en-GB"/>
              </w:rPr>
            </w:pPr>
            <w:r w:rsidRPr="00D22765">
              <w:rPr>
                <w:lang w:val="en-GB"/>
              </w:rPr>
              <w:t>19,4 %</w:t>
            </w:r>
          </w:p>
          <w:p w14:paraId="109FE8E3" w14:textId="77777777" w:rsidR="001200E2" w:rsidRPr="00D22765" w:rsidRDefault="001200E2" w:rsidP="00B64B9E">
            <w:pPr>
              <w:spacing w:after="40" w:line="360" w:lineRule="auto"/>
              <w:jc w:val="both"/>
              <w:rPr>
                <w:lang w:val="en-GB"/>
              </w:rPr>
            </w:pPr>
            <w:r w:rsidRPr="00D22765">
              <w:rPr>
                <w:lang w:val="en-GB"/>
              </w:rPr>
              <w:t xml:space="preserve">  8,6 %</w:t>
            </w:r>
          </w:p>
          <w:p w14:paraId="61B60B1A" w14:textId="77777777" w:rsidR="001200E2" w:rsidRPr="00D22765" w:rsidRDefault="001200E2" w:rsidP="00B64B9E">
            <w:pPr>
              <w:spacing w:after="40" w:line="360" w:lineRule="auto"/>
              <w:jc w:val="both"/>
              <w:rPr>
                <w:lang w:val="en-GB"/>
              </w:rPr>
            </w:pPr>
            <w:r w:rsidRPr="00D22765">
              <w:rPr>
                <w:lang w:val="en-GB"/>
              </w:rPr>
              <w:t xml:space="preserve">  4,3 %</w:t>
            </w:r>
          </w:p>
          <w:p w14:paraId="1FD4DEF5" w14:textId="77777777" w:rsidR="001200E2" w:rsidRPr="00D22765" w:rsidRDefault="001200E2" w:rsidP="00B64B9E">
            <w:pPr>
              <w:spacing w:after="40" w:line="360" w:lineRule="auto"/>
              <w:jc w:val="both"/>
              <w:rPr>
                <w:lang w:val="en-GB"/>
              </w:rPr>
            </w:pPr>
            <w:r w:rsidRPr="00D22765">
              <w:rPr>
                <w:lang w:val="en-GB"/>
              </w:rPr>
              <w:t xml:space="preserve">  3,8 %</w:t>
            </w:r>
          </w:p>
          <w:p w14:paraId="447A0FCE" w14:textId="77777777" w:rsidR="001200E2" w:rsidRPr="00D22765" w:rsidRDefault="001200E2" w:rsidP="00B64B9E">
            <w:pPr>
              <w:spacing w:after="40" w:line="360" w:lineRule="auto"/>
              <w:jc w:val="both"/>
              <w:rPr>
                <w:lang w:val="en-GB"/>
              </w:rPr>
            </w:pPr>
            <w:r w:rsidRPr="00D22765">
              <w:rPr>
                <w:lang w:val="en-GB"/>
              </w:rPr>
              <w:t xml:space="preserve">  3,6 %</w:t>
            </w:r>
          </w:p>
          <w:p w14:paraId="19BD3186" w14:textId="77777777" w:rsidR="001200E2" w:rsidRPr="00D22765" w:rsidRDefault="001200E2" w:rsidP="00B64B9E">
            <w:pPr>
              <w:spacing w:after="40" w:line="360" w:lineRule="auto"/>
              <w:jc w:val="both"/>
              <w:rPr>
                <w:lang w:val="en-GB"/>
              </w:rPr>
            </w:pPr>
            <w:r w:rsidRPr="00D22765">
              <w:rPr>
                <w:lang w:val="en-GB"/>
              </w:rPr>
              <w:t xml:space="preserve">  3,0 %</w:t>
            </w:r>
          </w:p>
          <w:p w14:paraId="0A219370" w14:textId="77777777" w:rsidR="001200E2" w:rsidRPr="00D22765" w:rsidRDefault="001200E2" w:rsidP="00B64B9E">
            <w:pPr>
              <w:spacing w:after="40" w:line="360" w:lineRule="auto"/>
              <w:jc w:val="both"/>
              <w:rPr>
                <w:lang w:val="en-GB"/>
              </w:rPr>
            </w:pPr>
            <w:r w:rsidRPr="00D22765">
              <w:rPr>
                <w:lang w:val="en-GB"/>
              </w:rPr>
              <w:t xml:space="preserve">  2,7 %</w:t>
            </w:r>
          </w:p>
          <w:p w14:paraId="4521D42D" w14:textId="77777777" w:rsidR="001200E2" w:rsidRPr="00D22765" w:rsidRDefault="001200E2" w:rsidP="00B64B9E">
            <w:pPr>
              <w:spacing w:after="40" w:line="360" w:lineRule="auto"/>
              <w:jc w:val="both"/>
              <w:rPr>
                <w:lang w:val="en-GB"/>
              </w:rPr>
            </w:pPr>
            <w:r w:rsidRPr="00D22765">
              <w:rPr>
                <w:lang w:val="en-GB"/>
              </w:rPr>
              <w:t xml:space="preserve">  2,1 %</w:t>
            </w:r>
          </w:p>
          <w:p w14:paraId="3DD5ADCC" w14:textId="77777777" w:rsidR="001200E2" w:rsidRPr="00D22765" w:rsidRDefault="001200E2" w:rsidP="00B64B9E">
            <w:pPr>
              <w:spacing w:after="40" w:line="360" w:lineRule="auto"/>
              <w:jc w:val="both"/>
              <w:rPr>
                <w:lang w:val="en-GB"/>
              </w:rPr>
            </w:pPr>
            <w:r w:rsidRPr="00D22765">
              <w:rPr>
                <w:lang w:val="en-GB"/>
              </w:rPr>
              <w:t xml:space="preserve">  1,9 %</w:t>
            </w:r>
          </w:p>
        </w:tc>
      </w:tr>
    </w:tbl>
    <w:p w14:paraId="0E198AD9" w14:textId="313B1E63" w:rsidR="00262053" w:rsidRPr="00D22765" w:rsidRDefault="00262053" w:rsidP="00470A26">
      <w:pPr>
        <w:jc w:val="both"/>
        <w:outlineLvl w:val="0"/>
        <w:rPr>
          <w:b/>
          <w:lang w:val="en-GB"/>
        </w:rPr>
      </w:pPr>
    </w:p>
    <w:p w14:paraId="4409785B" w14:textId="3808F8F0" w:rsidR="00516B0B" w:rsidRPr="00D22765" w:rsidRDefault="00516B0B" w:rsidP="00470A26">
      <w:pPr>
        <w:jc w:val="both"/>
        <w:outlineLvl w:val="0"/>
        <w:rPr>
          <w:lang w:val="en-GB"/>
        </w:rPr>
      </w:pPr>
      <w:r w:rsidRPr="00D22765">
        <w:rPr>
          <w:lang w:val="en-GB"/>
        </w:rPr>
        <w:t>Places 6 to 10 in the nation statistics are also occupied by European countries. The Asian markets have returned at a low level and, with 98,210 overnight stays, account for less than half of the US overnight stays. The share of overnight stays from Austria and Germany adds up to 55.16% of total overnight stays (compared with 41.96% in 2019), with the rest a good mix of international markets.</w:t>
      </w:r>
    </w:p>
    <w:p w14:paraId="16ED1609" w14:textId="77777777" w:rsidR="00262053" w:rsidRPr="00D22765" w:rsidRDefault="00262053" w:rsidP="00470A26">
      <w:pPr>
        <w:jc w:val="both"/>
        <w:outlineLvl w:val="0"/>
        <w:rPr>
          <w:b/>
          <w:lang w:val="en-GB"/>
        </w:rPr>
      </w:pPr>
    </w:p>
    <w:p w14:paraId="2CA13E8B" w14:textId="5DB2FE88" w:rsidR="00470A26" w:rsidRPr="00D22765" w:rsidRDefault="00516B0B" w:rsidP="00470A26">
      <w:pPr>
        <w:jc w:val="both"/>
        <w:outlineLvl w:val="0"/>
        <w:rPr>
          <w:b/>
          <w:lang w:val="en-GB"/>
        </w:rPr>
      </w:pPr>
      <w:r w:rsidRPr="00D22765">
        <w:rPr>
          <w:b/>
          <w:lang w:val="en-GB"/>
        </w:rPr>
        <w:t>Accommodation</w:t>
      </w:r>
      <w:r w:rsidR="00E0675A" w:rsidRPr="00D22765">
        <w:rPr>
          <w:b/>
          <w:lang w:val="en-GB"/>
        </w:rPr>
        <w:t xml:space="preserve"> Sector</w:t>
      </w:r>
    </w:p>
    <w:bookmarkEnd w:id="1"/>
    <w:p w14:paraId="31732AC0" w14:textId="77777777" w:rsidR="00554CAA" w:rsidRPr="00D22765" w:rsidRDefault="00554CAA" w:rsidP="00554CAA">
      <w:pPr>
        <w:jc w:val="both"/>
        <w:outlineLvl w:val="0"/>
        <w:rPr>
          <w:lang w:val="en-GB"/>
        </w:rPr>
      </w:pPr>
      <w:r w:rsidRPr="00D22765">
        <w:rPr>
          <w:lang w:val="en-GB"/>
        </w:rPr>
        <w:t xml:space="preserve">As of 31 August 2022, there were exactly 122 commercial establishments (categorised hotels, </w:t>
      </w:r>
      <w:proofErr w:type="gramStart"/>
      <w:r w:rsidRPr="00D22765">
        <w:rPr>
          <w:lang w:val="en-GB"/>
        </w:rPr>
        <w:t>inns</w:t>
      </w:r>
      <w:proofErr w:type="gramEnd"/>
      <w:r w:rsidRPr="00D22765">
        <w:rPr>
          <w:lang w:val="en-GB"/>
        </w:rPr>
        <w:t xml:space="preserve"> and guesthouses) in the provincial capital of Salzburg. They offer 14,117 beds, which is 409 beds less than in the previous year. Broken down into the individual hotel categories, there were 6 five-star hotels with 1,018 beds, 48 four-star hotels with 6,393 beds, 46 three-star hotels with 3,680 beds and 22 one- and two-star hotels with a total of 3,026 beds.</w:t>
      </w:r>
    </w:p>
    <w:p w14:paraId="2A3BDF6B" w14:textId="77777777" w:rsidR="00554CAA" w:rsidRPr="00D22765" w:rsidRDefault="00554CAA" w:rsidP="00554CAA">
      <w:pPr>
        <w:jc w:val="both"/>
        <w:outlineLvl w:val="0"/>
        <w:rPr>
          <w:lang w:val="en-GB"/>
        </w:rPr>
      </w:pPr>
    </w:p>
    <w:p w14:paraId="55F6D347" w14:textId="77777777" w:rsidR="00554CAA" w:rsidRPr="00D22765" w:rsidRDefault="00554CAA" w:rsidP="00554CAA">
      <w:pPr>
        <w:jc w:val="both"/>
        <w:outlineLvl w:val="0"/>
        <w:rPr>
          <w:lang w:val="en-GB"/>
        </w:rPr>
      </w:pPr>
      <w:r w:rsidRPr="00D22765">
        <w:rPr>
          <w:lang w:val="en-GB"/>
        </w:rPr>
        <w:t>Of the 2,437,380 overnight stays in hotels and similar establishments, the five-star category accounted for 151,783 overnight stays, the four-star category for 1,134,752, the three-star category for 669,155 and the one/two-star categories for 481,680 overnight stays. In 2022, campsites and youth hostels reported 67,162 overnight stays and private lodgings and other accommodation reported a total of 125,598 overnight stays.</w:t>
      </w:r>
    </w:p>
    <w:p w14:paraId="7914289A" w14:textId="77777777" w:rsidR="00554CAA" w:rsidRPr="00D22765" w:rsidRDefault="00554CAA" w:rsidP="00554CAA">
      <w:pPr>
        <w:jc w:val="both"/>
        <w:outlineLvl w:val="0"/>
        <w:rPr>
          <w:lang w:val="en-GB"/>
        </w:rPr>
      </w:pPr>
    </w:p>
    <w:p w14:paraId="34767E81" w14:textId="390F23AE" w:rsidR="00ED39F8" w:rsidRPr="00D22765" w:rsidRDefault="00554CAA" w:rsidP="00554CAA">
      <w:pPr>
        <w:jc w:val="both"/>
        <w:outlineLvl w:val="0"/>
        <w:rPr>
          <w:lang w:val="en-GB"/>
        </w:rPr>
      </w:pPr>
      <w:r w:rsidRPr="00D22765">
        <w:rPr>
          <w:lang w:val="en-GB"/>
        </w:rPr>
        <w:t>In the calendar year 2022, an average bed occupancy rate of 48.4 percent was achieved in the hotels. Broken down by month, the peak occupancy rate was 73.7 percent in the month of August.</w:t>
      </w:r>
    </w:p>
    <w:p w14:paraId="14D8ABEC" w14:textId="57482AD0" w:rsidR="00554CAA" w:rsidRPr="00D22765" w:rsidRDefault="00554CAA" w:rsidP="00554CAA">
      <w:pPr>
        <w:jc w:val="both"/>
        <w:outlineLvl w:val="0"/>
        <w:rPr>
          <w:lang w:val="en-GB"/>
        </w:rPr>
      </w:pPr>
    </w:p>
    <w:p w14:paraId="069F629B" w14:textId="4EFBF834" w:rsidR="00554CAA" w:rsidRPr="00D22765" w:rsidRDefault="00554CAA" w:rsidP="00554CAA">
      <w:pPr>
        <w:jc w:val="both"/>
        <w:outlineLvl w:val="0"/>
        <w:rPr>
          <w:lang w:val="en-GB"/>
        </w:rPr>
      </w:pPr>
      <w:r w:rsidRPr="00D22765">
        <w:rPr>
          <w:lang w:val="en-GB"/>
        </w:rPr>
        <w:t>The average number of overnight stays was 1.83 in the past year, compared with 1.85 the year before.</w:t>
      </w:r>
    </w:p>
    <w:p w14:paraId="1E358010" w14:textId="77777777" w:rsidR="00A62823" w:rsidRPr="00D22765" w:rsidRDefault="00A62823" w:rsidP="00A62823">
      <w:pPr>
        <w:jc w:val="both"/>
        <w:outlineLvl w:val="0"/>
        <w:rPr>
          <w:b/>
          <w:lang w:val="en-GB"/>
        </w:rPr>
      </w:pPr>
      <w:bookmarkStart w:id="2" w:name="_Hlk93907726"/>
      <w:r w:rsidRPr="00D22765">
        <w:rPr>
          <w:b/>
          <w:lang w:val="en-GB"/>
        </w:rPr>
        <w:lastRenderedPageBreak/>
        <w:t>Day Tourism</w:t>
      </w:r>
    </w:p>
    <w:p w14:paraId="52743B5C" w14:textId="7F24BD67" w:rsidR="00C92A3F" w:rsidRPr="00D22765" w:rsidRDefault="00E10848" w:rsidP="00AA6138">
      <w:pPr>
        <w:outlineLvl w:val="0"/>
        <w:rPr>
          <w:lang w:val="en-GB"/>
        </w:rPr>
      </w:pPr>
      <w:r w:rsidRPr="00D22765">
        <w:rPr>
          <w:lang w:val="en-GB"/>
        </w:rPr>
        <w:t>Around 6.5 million day</w:t>
      </w:r>
      <w:r w:rsidR="00D22765">
        <w:rPr>
          <w:lang w:val="en-GB"/>
        </w:rPr>
        <w:t>-</w:t>
      </w:r>
      <w:r w:rsidRPr="00D22765">
        <w:rPr>
          <w:lang w:val="en-GB"/>
        </w:rPr>
        <w:t xml:space="preserve">trippers visit the city of Salzburg every year. 3.5 million of these guests come from the region (about 70 % from the Austrian surroundings and 30 % from neighbouring Bavaria), 3 million are tourists. The most popular activities for day visitors are eating out, </w:t>
      </w:r>
      <w:proofErr w:type="gramStart"/>
      <w:r w:rsidRPr="00D22765">
        <w:rPr>
          <w:lang w:val="en-GB"/>
        </w:rPr>
        <w:t>strolling</w:t>
      </w:r>
      <w:proofErr w:type="gramEnd"/>
      <w:r w:rsidRPr="00D22765">
        <w:rPr>
          <w:lang w:val="en-GB"/>
        </w:rPr>
        <w:t xml:space="preserve"> and shopping. The season peaks in the summer months. On average, day visitors stay in the city for five and a half hours, spending around € 35.00 per person.</w:t>
      </w:r>
    </w:p>
    <w:p w14:paraId="0C08364F" w14:textId="3CCCA907" w:rsidR="00E10848" w:rsidRPr="00D22765" w:rsidRDefault="00E10848" w:rsidP="00AA6138">
      <w:pPr>
        <w:outlineLvl w:val="0"/>
        <w:rPr>
          <w:lang w:val="en-GB"/>
        </w:rPr>
      </w:pPr>
    </w:p>
    <w:p w14:paraId="6779BA66" w14:textId="77777777" w:rsidR="004A00C8" w:rsidRPr="00D22765" w:rsidRDefault="004A00C8" w:rsidP="004A00C8">
      <w:pPr>
        <w:outlineLvl w:val="0"/>
        <w:rPr>
          <w:b/>
          <w:bCs/>
          <w:lang w:val="en-GB"/>
        </w:rPr>
      </w:pPr>
      <w:r w:rsidRPr="00D22765">
        <w:rPr>
          <w:b/>
          <w:bCs/>
          <w:lang w:val="en-GB"/>
        </w:rPr>
        <w:t>Coaches and traffic</w:t>
      </w:r>
    </w:p>
    <w:p w14:paraId="127D49F6" w14:textId="43F0D676" w:rsidR="00E10848" w:rsidRPr="00D22765" w:rsidRDefault="004A00C8" w:rsidP="004A00C8">
      <w:pPr>
        <w:outlineLvl w:val="0"/>
        <w:rPr>
          <w:lang w:val="en-GB"/>
        </w:rPr>
      </w:pPr>
      <w:r w:rsidRPr="00D22765">
        <w:rPr>
          <w:lang w:val="en-GB"/>
        </w:rPr>
        <w:t xml:space="preserve">Since June 2018, coaches require a time slot at one of the two terminals, which must be booked in advance via an online reservation system. This approach has resulted in a decrease in the number of coaches and an even distribution of coach groups between the </w:t>
      </w:r>
      <w:proofErr w:type="spellStart"/>
      <w:r w:rsidRPr="00D22765">
        <w:rPr>
          <w:lang w:val="en-GB"/>
        </w:rPr>
        <w:t>Nonntal</w:t>
      </w:r>
      <w:proofErr w:type="spellEnd"/>
      <w:r w:rsidRPr="00D22765">
        <w:rPr>
          <w:lang w:val="en-GB"/>
        </w:rPr>
        <w:t xml:space="preserve"> and Paris-</w:t>
      </w:r>
      <w:proofErr w:type="spellStart"/>
      <w:r w:rsidRPr="00D22765">
        <w:rPr>
          <w:lang w:val="en-GB"/>
        </w:rPr>
        <w:t>Lodron</w:t>
      </w:r>
      <w:proofErr w:type="spellEnd"/>
      <w:r w:rsidRPr="00D22765">
        <w:rPr>
          <w:lang w:val="en-GB"/>
        </w:rPr>
        <w:t xml:space="preserve">-Strasse terminals. In the busy months of July and August, a direct shuttle from the P+R Messe to the city centre supports the distribution of visitor flows. In 2022, 12,478 coaches were registered. This corresponds to 31% compared with the same period in 2019. 56% of the buses used the </w:t>
      </w:r>
      <w:proofErr w:type="spellStart"/>
      <w:r w:rsidRPr="00D22765">
        <w:rPr>
          <w:lang w:val="en-GB"/>
        </w:rPr>
        <w:t>Nonntal</w:t>
      </w:r>
      <w:proofErr w:type="spellEnd"/>
      <w:r w:rsidRPr="00D22765">
        <w:rPr>
          <w:lang w:val="en-GB"/>
        </w:rPr>
        <w:t xml:space="preserve"> terminal, while the remaining 44% used the Paris-</w:t>
      </w:r>
      <w:proofErr w:type="spellStart"/>
      <w:r w:rsidRPr="00D22765">
        <w:rPr>
          <w:lang w:val="en-GB"/>
        </w:rPr>
        <w:t>Lodron</w:t>
      </w:r>
      <w:proofErr w:type="spellEnd"/>
      <w:r w:rsidRPr="00D22765">
        <w:rPr>
          <w:lang w:val="en-GB"/>
        </w:rPr>
        <w:t>-Strasse terminal.</w:t>
      </w:r>
    </w:p>
    <w:p w14:paraId="5452C9BE" w14:textId="77777777" w:rsidR="00E10848" w:rsidRPr="00D22765" w:rsidRDefault="00E10848" w:rsidP="00AA6138">
      <w:pPr>
        <w:outlineLvl w:val="0"/>
        <w:rPr>
          <w:lang w:val="en-GB"/>
        </w:rPr>
      </w:pPr>
    </w:p>
    <w:bookmarkEnd w:id="2"/>
    <w:p w14:paraId="74B6F8D9" w14:textId="77777777" w:rsidR="00A62823" w:rsidRPr="00D22765" w:rsidRDefault="00A62823" w:rsidP="00A62823">
      <w:pPr>
        <w:jc w:val="both"/>
        <w:outlineLvl w:val="0"/>
        <w:rPr>
          <w:b/>
          <w:lang w:val="en-GB"/>
        </w:rPr>
      </w:pPr>
      <w:r w:rsidRPr="00D22765">
        <w:rPr>
          <w:b/>
          <w:lang w:val="en-GB"/>
        </w:rPr>
        <w:t xml:space="preserve">Tourism as an economic factor </w:t>
      </w:r>
    </w:p>
    <w:p w14:paraId="4DE6CAF4" w14:textId="77777777" w:rsidR="000E7CD0" w:rsidRPr="00D22765" w:rsidRDefault="000E7CD0" w:rsidP="000E7CD0">
      <w:pPr>
        <w:jc w:val="both"/>
        <w:rPr>
          <w:lang w:val="en-GB"/>
        </w:rPr>
      </w:pPr>
      <w:r w:rsidRPr="00D22765">
        <w:rPr>
          <w:lang w:val="en-GB"/>
        </w:rPr>
        <w:t xml:space="preserve">Tourism is an important economic sector in Austria and Salzburg, contributing to growth and employment. The total tourism turnover in the city of Salzburg before Covid was about one billion euros. The share of tourism in the local gross national product was estimated at about 15 to 20 %. Some 10,000 jobs are secured by tourism in the city. </w:t>
      </w:r>
    </w:p>
    <w:p w14:paraId="2A04DFAA" w14:textId="77777777" w:rsidR="000E7CD0" w:rsidRPr="00D22765" w:rsidRDefault="000E7CD0" w:rsidP="000E7CD0">
      <w:pPr>
        <w:jc w:val="both"/>
        <w:rPr>
          <w:lang w:val="en-GB"/>
        </w:rPr>
      </w:pPr>
    </w:p>
    <w:p w14:paraId="18053B40" w14:textId="77777777" w:rsidR="000E7CD0" w:rsidRPr="00D22765" w:rsidRDefault="000E7CD0" w:rsidP="000E7CD0">
      <w:pPr>
        <w:jc w:val="both"/>
        <w:rPr>
          <w:lang w:val="en-GB"/>
        </w:rPr>
      </w:pPr>
      <w:r w:rsidRPr="00D22765">
        <w:rPr>
          <w:lang w:val="en-GB"/>
        </w:rPr>
        <w:t xml:space="preserve">The average overnight guest in Salzburg spends about € 230.00 per day (without travel). Of this, € 80.00 is spent on accommodation, € 36.00 on shopping, € 35.00 on food and drink and € 18.00 on leisure/culture/sport. The rest goes to transport and miscellaneous. </w:t>
      </w:r>
    </w:p>
    <w:p w14:paraId="1BBECC76" w14:textId="77777777" w:rsidR="000E7CD0" w:rsidRPr="00D22765" w:rsidRDefault="000E7CD0" w:rsidP="000E7CD0">
      <w:pPr>
        <w:jc w:val="both"/>
        <w:rPr>
          <w:lang w:val="en-GB"/>
        </w:rPr>
      </w:pPr>
    </w:p>
    <w:p w14:paraId="07AC11BC" w14:textId="76EAE9FC" w:rsidR="000719FD" w:rsidRPr="00D22765" w:rsidRDefault="000E7CD0" w:rsidP="000E7CD0">
      <w:pPr>
        <w:jc w:val="both"/>
        <w:rPr>
          <w:lang w:val="en-GB"/>
        </w:rPr>
      </w:pPr>
      <w:r w:rsidRPr="00D22765">
        <w:rPr>
          <w:lang w:val="en-GB"/>
        </w:rPr>
        <w:t xml:space="preserve">In addition to its tourism competence and its role as a cultural city, Salzburg is also of great importance as an economic centre in general. The economic power of the central region of Salzburg extends not only to Salzburg province, but to the entire region, which includes parts of neighbouring Bavaria as well as parts of Upper Austria. Significant service and trading companies such as Porsche Holding or Red Bull GmbH as well as food companies such as Spar Holding AG or Lidl Austria GmbH have their headquarters here. Renowned banks such as Bankhaus </w:t>
      </w:r>
      <w:proofErr w:type="spellStart"/>
      <w:r w:rsidRPr="00D22765">
        <w:rPr>
          <w:lang w:val="en-GB"/>
        </w:rPr>
        <w:t>Spängler</w:t>
      </w:r>
      <w:proofErr w:type="spellEnd"/>
      <w:r w:rsidRPr="00D22765">
        <w:rPr>
          <w:lang w:val="en-GB"/>
        </w:rPr>
        <w:t xml:space="preserve"> and </w:t>
      </w:r>
      <w:proofErr w:type="spellStart"/>
      <w:r w:rsidRPr="00D22765">
        <w:rPr>
          <w:lang w:val="en-GB"/>
        </w:rPr>
        <w:t>Wüstenrot</w:t>
      </w:r>
      <w:proofErr w:type="spellEnd"/>
      <w:r w:rsidRPr="00D22765">
        <w:rPr>
          <w:lang w:val="en-GB"/>
        </w:rPr>
        <w:t xml:space="preserve"> as well as numerous large forwarding companies also use the central location for their headquarters.</w:t>
      </w:r>
      <w:r w:rsidR="003421BA" w:rsidRPr="00D22765">
        <w:rPr>
          <w:lang w:val="en-GB"/>
        </w:rPr>
        <w:t xml:space="preserve"> </w:t>
      </w:r>
    </w:p>
    <w:p w14:paraId="2D1F52CC" w14:textId="25B82577" w:rsidR="00B05CB6" w:rsidRPr="00D22765" w:rsidRDefault="00B05CB6" w:rsidP="000E7CD0">
      <w:pPr>
        <w:jc w:val="both"/>
        <w:rPr>
          <w:lang w:val="en-GB"/>
        </w:rPr>
      </w:pPr>
    </w:p>
    <w:p w14:paraId="6C0FB1FF" w14:textId="77777777" w:rsidR="00B05CB6" w:rsidRPr="00D22765" w:rsidRDefault="00B05CB6" w:rsidP="00B05CB6">
      <w:pPr>
        <w:jc w:val="both"/>
        <w:rPr>
          <w:b/>
          <w:bCs/>
          <w:lang w:val="en-GB"/>
        </w:rPr>
      </w:pPr>
      <w:r w:rsidRPr="00D22765">
        <w:rPr>
          <w:b/>
          <w:bCs/>
          <w:lang w:val="en-GB"/>
        </w:rPr>
        <w:t>Catering sector</w:t>
      </w:r>
    </w:p>
    <w:p w14:paraId="24821967" w14:textId="312C748E" w:rsidR="00B05CB6" w:rsidRPr="00D22765" w:rsidRDefault="00B05CB6" w:rsidP="00B05CB6">
      <w:pPr>
        <w:jc w:val="both"/>
        <w:rPr>
          <w:lang w:val="en-GB"/>
        </w:rPr>
      </w:pPr>
      <w:r w:rsidRPr="00D22765">
        <w:rPr>
          <w:lang w:val="en-GB"/>
        </w:rPr>
        <w:t>Salzburg has around 1052 catering establishments, including 147 cafés or café-restaurants, 39 pubs, 250 restaurants and 102 bars and nightclubs. In 2022, the renowned gourmet guide Gault Millau awarded toques to 31 restaurants in the city and surrounding area: One restaurant received five toques, two restaurants received four toques, six restaurants received three toques, nine restaurants received two toques and thirteen restaurants received one toque. The Guide Michelin awarded two restaurants in the city and surroundings of Salzburg two stars and three restaurants one star.</w:t>
      </w:r>
    </w:p>
    <w:p w14:paraId="27EC2615" w14:textId="69BCFE14" w:rsidR="00390D35" w:rsidRPr="00D22765" w:rsidRDefault="00390D35" w:rsidP="003A1318">
      <w:pPr>
        <w:jc w:val="both"/>
        <w:rPr>
          <w:lang w:val="en-GB"/>
        </w:rPr>
      </w:pPr>
    </w:p>
    <w:p w14:paraId="126C269A" w14:textId="77777777" w:rsidR="00B05CB6" w:rsidRPr="00D22765" w:rsidRDefault="00B05CB6" w:rsidP="003A1318">
      <w:pPr>
        <w:jc w:val="both"/>
        <w:rPr>
          <w:lang w:val="en-GB"/>
        </w:rPr>
      </w:pPr>
    </w:p>
    <w:p w14:paraId="3E7FFD88" w14:textId="170E8F1A" w:rsidR="000719FD" w:rsidRPr="00D22765" w:rsidRDefault="005A58A1" w:rsidP="003A1318">
      <w:pPr>
        <w:jc w:val="both"/>
        <w:outlineLvl w:val="0"/>
        <w:rPr>
          <w:b/>
          <w:lang w:val="en-GB"/>
        </w:rPr>
      </w:pPr>
      <w:r w:rsidRPr="00D22765">
        <w:rPr>
          <w:b/>
          <w:lang w:val="en-GB"/>
        </w:rPr>
        <w:lastRenderedPageBreak/>
        <w:t xml:space="preserve">Visitor numbers from the most important </w:t>
      </w:r>
      <w:r w:rsidR="00B05CB6" w:rsidRPr="00D22765">
        <w:rPr>
          <w:b/>
          <w:lang w:val="en-GB"/>
        </w:rPr>
        <w:t>tourist</w:t>
      </w:r>
      <w:r w:rsidRPr="00D22765">
        <w:rPr>
          <w:b/>
          <w:lang w:val="en-GB"/>
        </w:rPr>
        <w:t xml:space="preserve"> attractions in 202</w:t>
      </w:r>
      <w:r w:rsidR="00B05CB6" w:rsidRPr="00D22765">
        <w:rPr>
          <w:b/>
          <w:lang w:val="en-GB"/>
        </w:rPr>
        <w:t>2</w:t>
      </w:r>
      <w:r w:rsidR="000719FD" w:rsidRPr="00D22765">
        <w:rPr>
          <w:b/>
          <w:lang w:val="en-GB"/>
        </w:rPr>
        <w:t>:</w:t>
      </w:r>
    </w:p>
    <w:p w14:paraId="6F564523" w14:textId="77777777" w:rsidR="00B05CB6" w:rsidRPr="00D22765" w:rsidRDefault="00B05CB6" w:rsidP="003A1318">
      <w:pPr>
        <w:jc w:val="both"/>
        <w:outlineLvl w:val="0"/>
        <w:rPr>
          <w:b/>
          <w:lang w:val="en-GB"/>
        </w:rPr>
      </w:pPr>
    </w:p>
    <w:tbl>
      <w:tblPr>
        <w:tblW w:w="91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701"/>
        <w:gridCol w:w="1348"/>
        <w:gridCol w:w="1559"/>
      </w:tblGrid>
      <w:tr w:rsidR="00B05CB6" w:rsidRPr="00D22765" w14:paraId="7A2730F7" w14:textId="77777777" w:rsidTr="00B64B9E">
        <w:trPr>
          <w:trHeight w:val="418"/>
          <w:jc w:val="right"/>
        </w:trPr>
        <w:tc>
          <w:tcPr>
            <w:tcW w:w="4536" w:type="dxa"/>
            <w:tcBorders>
              <w:bottom w:val="single" w:sz="4" w:space="0" w:color="auto"/>
            </w:tcBorders>
            <w:shd w:val="clear" w:color="auto" w:fill="D9D9D9"/>
          </w:tcPr>
          <w:p w14:paraId="3F10C3ED" w14:textId="71256D64" w:rsidR="00B05CB6" w:rsidRPr="00D22765" w:rsidRDefault="00B05CB6" w:rsidP="00B64B9E">
            <w:pPr>
              <w:spacing w:before="120"/>
              <w:jc w:val="both"/>
              <w:rPr>
                <w:b/>
                <w:lang w:val="en-GB"/>
              </w:rPr>
            </w:pPr>
            <w:r w:rsidRPr="00D22765">
              <w:rPr>
                <w:b/>
                <w:lang w:val="en-GB"/>
              </w:rPr>
              <w:t>Tourist attraction</w:t>
            </w:r>
          </w:p>
        </w:tc>
        <w:tc>
          <w:tcPr>
            <w:tcW w:w="1701" w:type="dxa"/>
            <w:tcBorders>
              <w:bottom w:val="single" w:sz="4" w:space="0" w:color="auto"/>
            </w:tcBorders>
            <w:shd w:val="clear" w:color="auto" w:fill="D9D9D9"/>
          </w:tcPr>
          <w:p w14:paraId="0139298D" w14:textId="77777777" w:rsidR="00B05CB6" w:rsidRPr="00D22765" w:rsidRDefault="00B05CB6" w:rsidP="00B64B9E">
            <w:pPr>
              <w:spacing w:before="120"/>
              <w:jc w:val="both"/>
              <w:rPr>
                <w:b/>
                <w:lang w:val="en-GB"/>
              </w:rPr>
            </w:pPr>
            <w:r w:rsidRPr="00D22765">
              <w:rPr>
                <w:b/>
                <w:lang w:val="en-GB"/>
              </w:rPr>
              <w:t>2022</w:t>
            </w:r>
          </w:p>
        </w:tc>
        <w:tc>
          <w:tcPr>
            <w:tcW w:w="1348" w:type="dxa"/>
            <w:tcBorders>
              <w:bottom w:val="single" w:sz="4" w:space="0" w:color="auto"/>
            </w:tcBorders>
            <w:shd w:val="clear" w:color="auto" w:fill="D9D9D9"/>
          </w:tcPr>
          <w:p w14:paraId="08FBC085" w14:textId="77777777" w:rsidR="00B05CB6" w:rsidRPr="00D22765" w:rsidRDefault="00B05CB6" w:rsidP="00B64B9E">
            <w:pPr>
              <w:spacing w:before="120"/>
              <w:jc w:val="both"/>
              <w:rPr>
                <w:b/>
                <w:lang w:val="en-GB"/>
              </w:rPr>
            </w:pPr>
            <w:r w:rsidRPr="00D22765">
              <w:rPr>
                <w:b/>
                <w:lang w:val="en-GB"/>
              </w:rPr>
              <w:t>2021</w:t>
            </w:r>
          </w:p>
        </w:tc>
        <w:tc>
          <w:tcPr>
            <w:tcW w:w="1559" w:type="dxa"/>
            <w:tcBorders>
              <w:bottom w:val="single" w:sz="4" w:space="0" w:color="auto"/>
            </w:tcBorders>
            <w:shd w:val="clear" w:color="auto" w:fill="D9D9D9"/>
          </w:tcPr>
          <w:p w14:paraId="3D156DEF" w14:textId="77777777" w:rsidR="00B05CB6" w:rsidRPr="00D22765" w:rsidRDefault="00B05CB6" w:rsidP="00B64B9E">
            <w:pPr>
              <w:spacing w:before="120"/>
              <w:jc w:val="both"/>
              <w:rPr>
                <w:b/>
                <w:lang w:val="en-GB"/>
              </w:rPr>
            </w:pPr>
            <w:r w:rsidRPr="00D22765">
              <w:rPr>
                <w:b/>
                <w:lang w:val="en-GB"/>
              </w:rPr>
              <w:t>2019</w:t>
            </w:r>
          </w:p>
        </w:tc>
      </w:tr>
      <w:tr w:rsidR="00B05CB6" w:rsidRPr="00D22765" w14:paraId="7D8A632D" w14:textId="77777777" w:rsidTr="00B64B9E">
        <w:trPr>
          <w:trHeight w:val="167"/>
          <w:jc w:val="right"/>
        </w:trPr>
        <w:tc>
          <w:tcPr>
            <w:tcW w:w="4536" w:type="dxa"/>
            <w:tcBorders>
              <w:bottom w:val="nil"/>
            </w:tcBorders>
            <w:shd w:val="clear" w:color="auto" w:fill="FFFFFF"/>
          </w:tcPr>
          <w:p w14:paraId="4C8E72A9" w14:textId="6F917576" w:rsidR="00B05CB6" w:rsidRPr="00D22765" w:rsidRDefault="00B05CB6" w:rsidP="00B64B9E">
            <w:pPr>
              <w:spacing w:before="120"/>
              <w:jc w:val="both"/>
              <w:rPr>
                <w:lang w:val="en-GB"/>
              </w:rPr>
            </w:pPr>
            <w:r w:rsidRPr="00D22765">
              <w:rPr>
                <w:lang w:val="en-GB"/>
              </w:rPr>
              <w:br/>
            </w:r>
            <w:proofErr w:type="spellStart"/>
            <w:r w:rsidRPr="00D22765">
              <w:rPr>
                <w:lang w:val="en-GB"/>
              </w:rPr>
              <w:t>Hohensalzburg</w:t>
            </w:r>
            <w:proofErr w:type="spellEnd"/>
            <w:r w:rsidRPr="00D22765">
              <w:rPr>
                <w:lang w:val="en-GB"/>
              </w:rPr>
              <w:t xml:space="preserve"> Fortress</w:t>
            </w:r>
          </w:p>
          <w:p w14:paraId="0FD18BD9" w14:textId="1760FB51" w:rsidR="00B05CB6" w:rsidRPr="00D22765" w:rsidRDefault="00B05CB6" w:rsidP="00B64B9E">
            <w:pPr>
              <w:spacing w:before="120"/>
              <w:jc w:val="both"/>
              <w:rPr>
                <w:lang w:val="en-GB"/>
              </w:rPr>
            </w:pPr>
            <w:r w:rsidRPr="00D22765">
              <w:rPr>
                <w:lang w:val="en-GB"/>
              </w:rPr>
              <w:t>Fortress Museum</w:t>
            </w:r>
          </w:p>
          <w:p w14:paraId="74EEBE20" w14:textId="00FAE5A6" w:rsidR="00B05CB6" w:rsidRPr="00D22765" w:rsidRDefault="00B05CB6" w:rsidP="00B64B9E">
            <w:pPr>
              <w:spacing w:before="120"/>
              <w:jc w:val="both"/>
              <w:rPr>
                <w:lang w:val="en-GB"/>
              </w:rPr>
            </w:pPr>
            <w:r w:rsidRPr="00D22765">
              <w:rPr>
                <w:lang w:val="en-GB"/>
              </w:rPr>
              <w:t>Salzburg Zoo</w:t>
            </w:r>
          </w:p>
          <w:p w14:paraId="0600B79B" w14:textId="7F2F6CBB" w:rsidR="00B05CB6" w:rsidRPr="00D22765" w:rsidRDefault="00B05CB6" w:rsidP="00B64B9E">
            <w:pPr>
              <w:spacing w:before="120"/>
              <w:jc w:val="both"/>
              <w:rPr>
                <w:lang w:val="en-GB"/>
              </w:rPr>
            </w:pPr>
            <w:proofErr w:type="gramStart"/>
            <w:r w:rsidRPr="00D22765">
              <w:rPr>
                <w:lang w:val="en-GB"/>
              </w:rPr>
              <w:t>Mozart‘</w:t>
            </w:r>
            <w:proofErr w:type="gramEnd"/>
            <w:r w:rsidRPr="00D22765">
              <w:rPr>
                <w:lang w:val="en-GB"/>
              </w:rPr>
              <w:t>s Birthplace &amp; Mozart’s residence</w:t>
            </w:r>
          </w:p>
          <w:p w14:paraId="64907106" w14:textId="3D1BC603" w:rsidR="00B05CB6" w:rsidRPr="00D22765" w:rsidRDefault="00B05CB6" w:rsidP="00B64B9E">
            <w:pPr>
              <w:spacing w:before="120"/>
              <w:jc w:val="both"/>
              <w:rPr>
                <w:lang w:val="en-GB"/>
              </w:rPr>
            </w:pPr>
            <w:r w:rsidRPr="00D22765">
              <w:rPr>
                <w:lang w:val="en-GB"/>
              </w:rPr>
              <w:t xml:space="preserve">Haus der </w:t>
            </w:r>
            <w:proofErr w:type="spellStart"/>
            <w:r w:rsidRPr="00D22765">
              <w:rPr>
                <w:lang w:val="en-GB"/>
              </w:rPr>
              <w:t>Natur</w:t>
            </w:r>
            <w:proofErr w:type="spellEnd"/>
            <w:r w:rsidRPr="00D22765">
              <w:rPr>
                <w:lang w:val="en-GB"/>
              </w:rPr>
              <w:t xml:space="preserve"> (museum of natural history)</w:t>
            </w:r>
          </w:p>
          <w:p w14:paraId="144CEA78" w14:textId="73F4A884" w:rsidR="00B05CB6" w:rsidRPr="00D22765" w:rsidRDefault="00B05CB6" w:rsidP="00B64B9E">
            <w:pPr>
              <w:spacing w:before="120"/>
              <w:jc w:val="both"/>
              <w:rPr>
                <w:lang w:val="en-GB"/>
              </w:rPr>
            </w:pPr>
            <w:proofErr w:type="spellStart"/>
            <w:r w:rsidRPr="00D22765">
              <w:rPr>
                <w:lang w:val="en-GB"/>
              </w:rPr>
              <w:t>Hellbrunn</w:t>
            </w:r>
            <w:proofErr w:type="spellEnd"/>
            <w:r w:rsidRPr="00D22765">
              <w:rPr>
                <w:lang w:val="en-GB"/>
              </w:rPr>
              <w:t xml:space="preserve"> Palace &amp; Trick Fountains</w:t>
            </w:r>
          </w:p>
          <w:p w14:paraId="65CBB7A9" w14:textId="3DDA23F7" w:rsidR="00B05CB6" w:rsidRPr="00D22765" w:rsidRDefault="00B05CB6" w:rsidP="00B64B9E">
            <w:pPr>
              <w:spacing w:before="120"/>
              <w:jc w:val="both"/>
              <w:rPr>
                <w:lang w:val="en-GB"/>
              </w:rPr>
            </w:pPr>
            <w:proofErr w:type="spellStart"/>
            <w:r w:rsidRPr="00D22765">
              <w:rPr>
                <w:lang w:val="en-GB"/>
              </w:rPr>
              <w:t>Untersberg</w:t>
            </w:r>
            <w:proofErr w:type="spellEnd"/>
            <w:r w:rsidRPr="00D22765">
              <w:rPr>
                <w:lang w:val="en-GB"/>
              </w:rPr>
              <w:t xml:space="preserve"> Cable Car</w:t>
            </w:r>
          </w:p>
          <w:p w14:paraId="5351C5D4" w14:textId="36F42EB1" w:rsidR="00B05CB6" w:rsidRPr="00AC5E81" w:rsidRDefault="00B05CB6" w:rsidP="00B64B9E">
            <w:pPr>
              <w:spacing w:before="120"/>
              <w:jc w:val="both"/>
              <w:rPr>
                <w:lang w:val="de-DE"/>
              </w:rPr>
            </w:pPr>
            <w:r w:rsidRPr="00AC5E81">
              <w:rPr>
                <w:lang w:val="de-DE"/>
              </w:rPr>
              <w:t>Toy Museum</w:t>
            </w:r>
          </w:p>
          <w:p w14:paraId="031F4464" w14:textId="77777777" w:rsidR="00B05CB6" w:rsidRPr="00AC5E81" w:rsidRDefault="00B05CB6" w:rsidP="00B64B9E">
            <w:pPr>
              <w:spacing w:before="120"/>
              <w:jc w:val="both"/>
              <w:rPr>
                <w:lang w:val="de-DE"/>
              </w:rPr>
            </w:pPr>
            <w:r w:rsidRPr="00AC5E81">
              <w:rPr>
                <w:lang w:val="de-DE"/>
              </w:rPr>
              <w:t>DomQuartier</w:t>
            </w:r>
          </w:p>
          <w:p w14:paraId="618F52CB" w14:textId="77777777" w:rsidR="00B05CB6" w:rsidRPr="00985C6A" w:rsidRDefault="00B05CB6" w:rsidP="00B64B9E">
            <w:pPr>
              <w:spacing w:before="120"/>
              <w:jc w:val="both"/>
              <w:rPr>
                <w:lang w:val="de-DE"/>
              </w:rPr>
            </w:pPr>
            <w:r w:rsidRPr="00985C6A">
              <w:rPr>
                <w:lang w:val="de-DE"/>
              </w:rPr>
              <w:t>Museum der Moderne Salzburg</w:t>
            </w:r>
          </w:p>
          <w:p w14:paraId="526824DE" w14:textId="0DE6B969" w:rsidR="00B05CB6" w:rsidRPr="00AC5E81" w:rsidRDefault="00B05CB6" w:rsidP="00B64B9E">
            <w:pPr>
              <w:spacing w:before="120"/>
              <w:jc w:val="both"/>
              <w:rPr>
                <w:lang w:val="de-DE"/>
              </w:rPr>
            </w:pPr>
            <w:r w:rsidRPr="00985C6A">
              <w:rPr>
                <w:lang w:val="de-DE"/>
              </w:rPr>
              <w:t xml:space="preserve">Salzburg Museum incl. </w:t>
            </w:r>
            <w:r w:rsidRPr="00AC5E81">
              <w:rPr>
                <w:lang w:val="de-DE"/>
              </w:rPr>
              <w:t>Panorama Museum</w:t>
            </w:r>
          </w:p>
          <w:p w14:paraId="005B3171" w14:textId="77777777" w:rsidR="00B05CB6" w:rsidRPr="00AC5E81" w:rsidRDefault="00B05CB6" w:rsidP="00B64B9E">
            <w:pPr>
              <w:spacing w:before="120"/>
              <w:jc w:val="both"/>
              <w:rPr>
                <w:lang w:val="de-DE"/>
              </w:rPr>
            </w:pPr>
            <w:r w:rsidRPr="00AC5E81">
              <w:rPr>
                <w:lang w:val="de-DE"/>
              </w:rPr>
              <w:t>Stiegl-Brauwelt Museum</w:t>
            </w:r>
          </w:p>
        </w:tc>
        <w:tc>
          <w:tcPr>
            <w:tcW w:w="1701" w:type="dxa"/>
            <w:tcBorders>
              <w:bottom w:val="nil"/>
            </w:tcBorders>
            <w:shd w:val="clear" w:color="auto" w:fill="FFFFFF"/>
          </w:tcPr>
          <w:p w14:paraId="458478E4" w14:textId="77777777" w:rsidR="00B05CB6" w:rsidRPr="00D22765" w:rsidRDefault="00B05CB6" w:rsidP="00B64B9E">
            <w:pPr>
              <w:spacing w:before="120"/>
              <w:jc w:val="both"/>
              <w:rPr>
                <w:lang w:val="en-GB"/>
              </w:rPr>
            </w:pPr>
            <w:r w:rsidRPr="00AC5E81">
              <w:rPr>
                <w:lang w:val="de-DE"/>
              </w:rPr>
              <w:br/>
            </w:r>
            <w:r w:rsidRPr="00D22765">
              <w:rPr>
                <w:lang w:val="en-GB"/>
              </w:rPr>
              <w:t>1.038.060</w:t>
            </w:r>
          </w:p>
          <w:p w14:paraId="061EAF8E" w14:textId="77777777" w:rsidR="00B05CB6" w:rsidRPr="00D22765" w:rsidRDefault="00B05CB6" w:rsidP="00B64B9E">
            <w:pPr>
              <w:spacing w:before="120"/>
              <w:jc w:val="both"/>
              <w:rPr>
                <w:lang w:val="en-GB"/>
              </w:rPr>
            </w:pPr>
            <w:r w:rsidRPr="00D22765">
              <w:rPr>
                <w:lang w:val="en-GB"/>
              </w:rPr>
              <w:t xml:space="preserve">   579.862</w:t>
            </w:r>
          </w:p>
          <w:p w14:paraId="62418B96" w14:textId="77777777" w:rsidR="00B05CB6" w:rsidRPr="00D22765" w:rsidRDefault="00B05CB6" w:rsidP="00B64B9E">
            <w:pPr>
              <w:spacing w:before="120"/>
              <w:jc w:val="both"/>
              <w:rPr>
                <w:lang w:val="en-GB"/>
              </w:rPr>
            </w:pPr>
            <w:r w:rsidRPr="00D22765">
              <w:rPr>
                <w:lang w:val="en-GB"/>
              </w:rPr>
              <w:t xml:space="preserve">   406.751</w:t>
            </w:r>
          </w:p>
          <w:p w14:paraId="0794F1C2" w14:textId="77777777" w:rsidR="00B05CB6" w:rsidRPr="00D22765" w:rsidRDefault="00B05CB6" w:rsidP="00B64B9E">
            <w:pPr>
              <w:spacing w:before="120"/>
              <w:jc w:val="both"/>
              <w:rPr>
                <w:lang w:val="en-GB"/>
              </w:rPr>
            </w:pPr>
            <w:r w:rsidRPr="00D22765">
              <w:rPr>
                <w:lang w:val="en-GB"/>
              </w:rPr>
              <w:t xml:space="preserve">   350.000</w:t>
            </w:r>
          </w:p>
          <w:p w14:paraId="780B410B" w14:textId="77777777" w:rsidR="00B05CB6" w:rsidRPr="00D22765" w:rsidRDefault="00B05CB6" w:rsidP="00B64B9E">
            <w:pPr>
              <w:spacing w:before="120"/>
              <w:jc w:val="both"/>
              <w:rPr>
                <w:lang w:val="en-GB"/>
              </w:rPr>
            </w:pPr>
            <w:r w:rsidRPr="00D22765">
              <w:rPr>
                <w:lang w:val="en-GB"/>
              </w:rPr>
              <w:t xml:space="preserve">   340.636</w:t>
            </w:r>
          </w:p>
          <w:p w14:paraId="62CB2B38" w14:textId="77777777" w:rsidR="00B05CB6" w:rsidRPr="00D22765" w:rsidRDefault="00B05CB6" w:rsidP="00B64B9E">
            <w:pPr>
              <w:spacing w:before="120"/>
              <w:jc w:val="both"/>
              <w:rPr>
                <w:lang w:val="en-GB"/>
              </w:rPr>
            </w:pPr>
            <w:r w:rsidRPr="00D22765">
              <w:rPr>
                <w:lang w:val="en-GB"/>
              </w:rPr>
              <w:t xml:space="preserve">   201.324</w:t>
            </w:r>
          </w:p>
          <w:p w14:paraId="2745F6A9" w14:textId="77777777" w:rsidR="00B05CB6" w:rsidRPr="00D22765" w:rsidRDefault="00B05CB6" w:rsidP="00B64B9E">
            <w:pPr>
              <w:spacing w:before="120"/>
              <w:jc w:val="both"/>
              <w:rPr>
                <w:lang w:val="en-GB"/>
              </w:rPr>
            </w:pPr>
            <w:r w:rsidRPr="00D22765">
              <w:rPr>
                <w:lang w:val="en-GB"/>
              </w:rPr>
              <w:t xml:space="preserve">   192.816</w:t>
            </w:r>
          </w:p>
          <w:p w14:paraId="421479C7" w14:textId="77777777" w:rsidR="00B05CB6" w:rsidRPr="00D22765" w:rsidRDefault="00B05CB6" w:rsidP="00B64B9E">
            <w:pPr>
              <w:spacing w:before="120"/>
              <w:jc w:val="both"/>
              <w:rPr>
                <w:lang w:val="en-GB"/>
              </w:rPr>
            </w:pPr>
            <w:r w:rsidRPr="00D22765">
              <w:rPr>
                <w:lang w:val="en-GB"/>
              </w:rPr>
              <w:t xml:space="preserve">     88.876</w:t>
            </w:r>
          </w:p>
          <w:p w14:paraId="26908C9B" w14:textId="77777777" w:rsidR="00B05CB6" w:rsidRPr="00D22765" w:rsidRDefault="00B05CB6" w:rsidP="00B64B9E">
            <w:pPr>
              <w:spacing w:before="120"/>
              <w:jc w:val="both"/>
              <w:rPr>
                <w:lang w:val="en-GB"/>
              </w:rPr>
            </w:pPr>
            <w:r w:rsidRPr="00D22765">
              <w:rPr>
                <w:lang w:val="en-GB"/>
              </w:rPr>
              <w:t xml:space="preserve">     85.937</w:t>
            </w:r>
          </w:p>
          <w:p w14:paraId="126ECA76" w14:textId="77777777" w:rsidR="00B05CB6" w:rsidRPr="00D22765" w:rsidRDefault="00B05CB6" w:rsidP="00B64B9E">
            <w:pPr>
              <w:spacing w:before="120"/>
              <w:jc w:val="both"/>
              <w:rPr>
                <w:lang w:val="en-GB"/>
              </w:rPr>
            </w:pPr>
            <w:r w:rsidRPr="00D22765">
              <w:rPr>
                <w:lang w:val="en-GB"/>
              </w:rPr>
              <w:t xml:space="preserve">     82.400</w:t>
            </w:r>
          </w:p>
          <w:p w14:paraId="3F59D487" w14:textId="77777777" w:rsidR="00B05CB6" w:rsidRPr="00D22765" w:rsidRDefault="00B05CB6" w:rsidP="00B64B9E">
            <w:pPr>
              <w:spacing w:before="120"/>
              <w:jc w:val="both"/>
              <w:rPr>
                <w:lang w:val="en-GB"/>
              </w:rPr>
            </w:pPr>
            <w:r w:rsidRPr="00D22765">
              <w:rPr>
                <w:lang w:val="en-GB"/>
              </w:rPr>
              <w:t xml:space="preserve">     66.781</w:t>
            </w:r>
          </w:p>
          <w:p w14:paraId="743B19B4" w14:textId="77777777" w:rsidR="00B05CB6" w:rsidRPr="00D22765" w:rsidRDefault="00B05CB6" w:rsidP="00B64B9E">
            <w:pPr>
              <w:spacing w:before="120"/>
              <w:jc w:val="both"/>
              <w:rPr>
                <w:lang w:val="en-GB"/>
              </w:rPr>
            </w:pPr>
            <w:r w:rsidRPr="00D22765">
              <w:rPr>
                <w:lang w:val="en-GB"/>
              </w:rPr>
              <w:t xml:space="preserve">     40.500</w:t>
            </w:r>
          </w:p>
        </w:tc>
        <w:tc>
          <w:tcPr>
            <w:tcW w:w="1348" w:type="dxa"/>
            <w:tcBorders>
              <w:bottom w:val="nil"/>
            </w:tcBorders>
            <w:shd w:val="clear" w:color="auto" w:fill="FFFFFF"/>
          </w:tcPr>
          <w:p w14:paraId="1A56065A" w14:textId="77777777" w:rsidR="00B05CB6" w:rsidRPr="00D22765" w:rsidRDefault="00B05CB6" w:rsidP="00B64B9E">
            <w:pPr>
              <w:spacing w:before="120"/>
              <w:jc w:val="both"/>
              <w:rPr>
                <w:lang w:val="en-GB"/>
              </w:rPr>
            </w:pPr>
            <w:r w:rsidRPr="00D22765">
              <w:rPr>
                <w:lang w:val="en-GB"/>
              </w:rPr>
              <w:br/>
              <w:t>427.153</w:t>
            </w:r>
          </w:p>
          <w:p w14:paraId="713E7D30" w14:textId="77777777" w:rsidR="00B05CB6" w:rsidRPr="00D22765" w:rsidRDefault="00B05CB6" w:rsidP="00B64B9E">
            <w:pPr>
              <w:spacing w:before="120"/>
              <w:jc w:val="both"/>
              <w:rPr>
                <w:lang w:val="en-GB"/>
              </w:rPr>
            </w:pPr>
            <w:r w:rsidRPr="00D22765">
              <w:rPr>
                <w:lang w:val="en-GB"/>
              </w:rPr>
              <w:t>241.720</w:t>
            </w:r>
          </w:p>
          <w:p w14:paraId="05559A1F" w14:textId="77777777" w:rsidR="00B05CB6" w:rsidRPr="00D22765" w:rsidRDefault="00B05CB6" w:rsidP="00B64B9E">
            <w:pPr>
              <w:spacing w:before="120"/>
              <w:jc w:val="both"/>
              <w:rPr>
                <w:lang w:val="en-GB"/>
              </w:rPr>
            </w:pPr>
            <w:r w:rsidRPr="00D22765">
              <w:rPr>
                <w:lang w:val="en-GB"/>
              </w:rPr>
              <w:t>310.041</w:t>
            </w:r>
          </w:p>
          <w:p w14:paraId="40063828" w14:textId="77777777" w:rsidR="00B05CB6" w:rsidRPr="00D22765" w:rsidRDefault="00B05CB6" w:rsidP="00B64B9E">
            <w:pPr>
              <w:spacing w:before="120"/>
              <w:jc w:val="both"/>
              <w:rPr>
                <w:lang w:val="en-GB"/>
              </w:rPr>
            </w:pPr>
            <w:r w:rsidRPr="00D22765">
              <w:rPr>
                <w:lang w:val="en-GB"/>
              </w:rPr>
              <w:t xml:space="preserve">  86.480</w:t>
            </w:r>
          </w:p>
          <w:p w14:paraId="49A52668" w14:textId="77777777" w:rsidR="00B05CB6" w:rsidRPr="00D22765" w:rsidRDefault="00B05CB6" w:rsidP="00B64B9E">
            <w:pPr>
              <w:spacing w:before="120"/>
              <w:jc w:val="both"/>
              <w:rPr>
                <w:lang w:val="en-GB"/>
              </w:rPr>
            </w:pPr>
            <w:r w:rsidRPr="00D22765">
              <w:rPr>
                <w:lang w:val="en-GB"/>
              </w:rPr>
              <w:t>195.537</w:t>
            </w:r>
          </w:p>
          <w:p w14:paraId="5FBF2F62" w14:textId="77777777" w:rsidR="00B05CB6" w:rsidRPr="00D22765" w:rsidRDefault="00B05CB6" w:rsidP="00B64B9E">
            <w:pPr>
              <w:spacing w:before="120"/>
              <w:jc w:val="both"/>
              <w:rPr>
                <w:lang w:val="en-GB"/>
              </w:rPr>
            </w:pPr>
            <w:r w:rsidRPr="00D22765">
              <w:rPr>
                <w:lang w:val="en-GB"/>
              </w:rPr>
              <w:t>106.914</w:t>
            </w:r>
          </w:p>
          <w:p w14:paraId="4489A701" w14:textId="77777777" w:rsidR="00B05CB6" w:rsidRPr="00D22765" w:rsidRDefault="00B05CB6" w:rsidP="00B64B9E">
            <w:pPr>
              <w:spacing w:before="120"/>
              <w:jc w:val="both"/>
              <w:rPr>
                <w:lang w:val="en-GB"/>
              </w:rPr>
            </w:pPr>
            <w:r w:rsidRPr="00D22765">
              <w:rPr>
                <w:lang w:val="en-GB"/>
              </w:rPr>
              <w:t>117.781</w:t>
            </w:r>
          </w:p>
          <w:p w14:paraId="6FD8BA7C" w14:textId="77777777" w:rsidR="00B05CB6" w:rsidRPr="00D22765" w:rsidRDefault="00B05CB6" w:rsidP="00B64B9E">
            <w:pPr>
              <w:spacing w:before="120"/>
              <w:jc w:val="both"/>
              <w:rPr>
                <w:lang w:val="en-GB"/>
              </w:rPr>
            </w:pPr>
            <w:r w:rsidRPr="00D22765">
              <w:rPr>
                <w:lang w:val="en-GB"/>
              </w:rPr>
              <w:t xml:space="preserve">  48.370</w:t>
            </w:r>
          </w:p>
          <w:p w14:paraId="6877212E" w14:textId="77777777" w:rsidR="00B05CB6" w:rsidRPr="00D22765" w:rsidRDefault="00B05CB6" w:rsidP="00B64B9E">
            <w:pPr>
              <w:spacing w:before="120"/>
              <w:jc w:val="both"/>
              <w:rPr>
                <w:lang w:val="en-GB"/>
              </w:rPr>
            </w:pPr>
            <w:r w:rsidRPr="00D22765">
              <w:rPr>
                <w:lang w:val="en-GB"/>
              </w:rPr>
              <w:t xml:space="preserve">  38.951</w:t>
            </w:r>
          </w:p>
          <w:p w14:paraId="3D40BE8C" w14:textId="77777777" w:rsidR="00B05CB6" w:rsidRPr="00D22765" w:rsidRDefault="00B05CB6" w:rsidP="00B64B9E">
            <w:pPr>
              <w:spacing w:before="120"/>
              <w:jc w:val="both"/>
              <w:rPr>
                <w:lang w:val="en-GB"/>
              </w:rPr>
            </w:pPr>
            <w:r w:rsidRPr="00D22765">
              <w:rPr>
                <w:lang w:val="en-GB"/>
              </w:rPr>
              <w:t xml:space="preserve">  53.000</w:t>
            </w:r>
          </w:p>
          <w:p w14:paraId="77DADCB8" w14:textId="77777777" w:rsidR="00B05CB6" w:rsidRPr="00D22765" w:rsidRDefault="00B05CB6" w:rsidP="00B64B9E">
            <w:pPr>
              <w:spacing w:before="120"/>
              <w:jc w:val="both"/>
              <w:rPr>
                <w:lang w:val="en-GB"/>
              </w:rPr>
            </w:pPr>
            <w:r w:rsidRPr="00D22765">
              <w:rPr>
                <w:lang w:val="en-GB"/>
              </w:rPr>
              <w:t xml:space="preserve">  41.465</w:t>
            </w:r>
          </w:p>
          <w:p w14:paraId="22527336" w14:textId="77777777" w:rsidR="00B05CB6" w:rsidRPr="00D22765" w:rsidRDefault="00B05CB6" w:rsidP="00B64B9E">
            <w:pPr>
              <w:spacing w:before="120"/>
              <w:jc w:val="both"/>
              <w:rPr>
                <w:lang w:val="en-GB"/>
              </w:rPr>
            </w:pPr>
            <w:r w:rsidRPr="00D22765">
              <w:rPr>
                <w:lang w:val="en-GB"/>
              </w:rPr>
              <w:t xml:space="preserve">  13.868</w:t>
            </w:r>
          </w:p>
        </w:tc>
        <w:tc>
          <w:tcPr>
            <w:tcW w:w="1559" w:type="dxa"/>
            <w:tcBorders>
              <w:bottom w:val="nil"/>
            </w:tcBorders>
            <w:shd w:val="clear" w:color="auto" w:fill="FFFFFF"/>
          </w:tcPr>
          <w:p w14:paraId="501A958A" w14:textId="77777777" w:rsidR="00B05CB6" w:rsidRPr="00D22765" w:rsidRDefault="00B05CB6" w:rsidP="00B64B9E">
            <w:pPr>
              <w:spacing w:before="120"/>
              <w:jc w:val="both"/>
              <w:rPr>
                <w:lang w:val="en-GB"/>
              </w:rPr>
            </w:pPr>
            <w:r w:rsidRPr="00D22765">
              <w:rPr>
                <w:lang w:val="en-GB"/>
              </w:rPr>
              <w:br/>
              <w:t>1.378.935</w:t>
            </w:r>
          </w:p>
          <w:p w14:paraId="26E7AE72" w14:textId="77777777" w:rsidR="00B05CB6" w:rsidRPr="00D22765" w:rsidRDefault="00B05CB6" w:rsidP="00B64B9E">
            <w:pPr>
              <w:spacing w:before="120"/>
              <w:jc w:val="both"/>
              <w:rPr>
                <w:lang w:val="en-GB"/>
              </w:rPr>
            </w:pPr>
            <w:r w:rsidRPr="00D22765">
              <w:rPr>
                <w:lang w:val="en-GB"/>
              </w:rPr>
              <w:t xml:space="preserve">   720.475</w:t>
            </w:r>
          </w:p>
          <w:p w14:paraId="211C00B1" w14:textId="77777777" w:rsidR="00B05CB6" w:rsidRPr="00D22765" w:rsidRDefault="00B05CB6" w:rsidP="00B64B9E">
            <w:pPr>
              <w:spacing w:before="120"/>
              <w:jc w:val="both"/>
              <w:rPr>
                <w:lang w:val="en-GB"/>
              </w:rPr>
            </w:pPr>
            <w:r w:rsidRPr="00D22765">
              <w:rPr>
                <w:lang w:val="en-GB"/>
              </w:rPr>
              <w:t xml:space="preserve">   577.126</w:t>
            </w:r>
          </w:p>
          <w:p w14:paraId="4A533F65" w14:textId="77777777" w:rsidR="00B05CB6" w:rsidRPr="00D22765" w:rsidRDefault="00B05CB6" w:rsidP="00B64B9E">
            <w:pPr>
              <w:spacing w:before="120"/>
              <w:jc w:val="both"/>
              <w:rPr>
                <w:lang w:val="en-GB"/>
              </w:rPr>
            </w:pPr>
            <w:r w:rsidRPr="00D22765">
              <w:rPr>
                <w:lang w:val="en-GB"/>
              </w:rPr>
              <w:t xml:space="preserve">   394.233</w:t>
            </w:r>
          </w:p>
          <w:p w14:paraId="76B3EF43" w14:textId="77777777" w:rsidR="00B05CB6" w:rsidRPr="00D22765" w:rsidRDefault="00B05CB6" w:rsidP="00B64B9E">
            <w:pPr>
              <w:spacing w:before="120"/>
              <w:jc w:val="both"/>
              <w:rPr>
                <w:lang w:val="en-GB"/>
              </w:rPr>
            </w:pPr>
            <w:r w:rsidRPr="00D22765">
              <w:rPr>
                <w:lang w:val="en-GB"/>
              </w:rPr>
              <w:t xml:space="preserve">   339.127</w:t>
            </w:r>
          </w:p>
          <w:p w14:paraId="6FEEDAEB" w14:textId="77777777" w:rsidR="00B05CB6" w:rsidRPr="00D22765" w:rsidRDefault="00B05CB6" w:rsidP="00B64B9E">
            <w:pPr>
              <w:spacing w:before="120"/>
              <w:jc w:val="both"/>
              <w:rPr>
                <w:lang w:val="en-GB"/>
              </w:rPr>
            </w:pPr>
            <w:r w:rsidRPr="00D22765">
              <w:rPr>
                <w:lang w:val="en-GB"/>
              </w:rPr>
              <w:t xml:space="preserve">   291.018</w:t>
            </w:r>
          </w:p>
          <w:p w14:paraId="395153B2" w14:textId="77777777" w:rsidR="00B05CB6" w:rsidRPr="00D22765" w:rsidRDefault="00B05CB6" w:rsidP="00B64B9E">
            <w:pPr>
              <w:spacing w:before="120"/>
              <w:jc w:val="both"/>
              <w:rPr>
                <w:lang w:val="en-GB"/>
              </w:rPr>
            </w:pPr>
            <w:r w:rsidRPr="00D22765">
              <w:rPr>
                <w:lang w:val="en-GB"/>
              </w:rPr>
              <w:t xml:space="preserve">   267.634</w:t>
            </w:r>
          </w:p>
          <w:p w14:paraId="0004A3EB" w14:textId="77777777" w:rsidR="00B05CB6" w:rsidRPr="00D22765" w:rsidRDefault="00B05CB6" w:rsidP="00B64B9E">
            <w:pPr>
              <w:spacing w:before="120"/>
              <w:jc w:val="both"/>
              <w:rPr>
                <w:lang w:val="en-GB"/>
              </w:rPr>
            </w:pPr>
            <w:r w:rsidRPr="00D22765">
              <w:rPr>
                <w:lang w:val="en-GB"/>
              </w:rPr>
              <w:t xml:space="preserve">   131.435</w:t>
            </w:r>
          </w:p>
          <w:p w14:paraId="4D111017" w14:textId="77777777" w:rsidR="00B05CB6" w:rsidRPr="00D22765" w:rsidRDefault="00B05CB6" w:rsidP="00B64B9E">
            <w:pPr>
              <w:spacing w:before="120"/>
              <w:jc w:val="both"/>
              <w:rPr>
                <w:lang w:val="en-GB"/>
              </w:rPr>
            </w:pPr>
            <w:r w:rsidRPr="00D22765">
              <w:rPr>
                <w:lang w:val="en-GB"/>
              </w:rPr>
              <w:t xml:space="preserve">   120.201</w:t>
            </w:r>
          </w:p>
          <w:p w14:paraId="22A31228" w14:textId="77777777" w:rsidR="00B05CB6" w:rsidRPr="00D22765" w:rsidRDefault="00B05CB6" w:rsidP="00B64B9E">
            <w:pPr>
              <w:spacing w:before="120"/>
              <w:jc w:val="both"/>
              <w:rPr>
                <w:lang w:val="en-GB"/>
              </w:rPr>
            </w:pPr>
            <w:r w:rsidRPr="00D22765">
              <w:rPr>
                <w:lang w:val="en-GB"/>
              </w:rPr>
              <w:t xml:space="preserve">   101.700</w:t>
            </w:r>
          </w:p>
          <w:p w14:paraId="64FC5B06" w14:textId="77777777" w:rsidR="00B05CB6" w:rsidRPr="00D22765" w:rsidRDefault="00B05CB6" w:rsidP="00B64B9E">
            <w:pPr>
              <w:spacing w:before="120"/>
              <w:jc w:val="both"/>
              <w:rPr>
                <w:lang w:val="en-GB"/>
              </w:rPr>
            </w:pPr>
            <w:r w:rsidRPr="00D22765">
              <w:rPr>
                <w:lang w:val="en-GB"/>
              </w:rPr>
              <w:t xml:space="preserve">     50.000</w:t>
            </w:r>
          </w:p>
          <w:p w14:paraId="403CF4DC" w14:textId="77777777" w:rsidR="00B05CB6" w:rsidRPr="00D22765" w:rsidRDefault="00B05CB6" w:rsidP="00B64B9E">
            <w:pPr>
              <w:spacing w:before="120"/>
              <w:jc w:val="both"/>
              <w:rPr>
                <w:lang w:val="en-GB"/>
              </w:rPr>
            </w:pPr>
            <w:r w:rsidRPr="00D22765">
              <w:rPr>
                <w:lang w:val="en-GB"/>
              </w:rPr>
              <w:t xml:space="preserve">     82.452</w:t>
            </w:r>
          </w:p>
        </w:tc>
      </w:tr>
      <w:tr w:rsidR="00B05CB6" w:rsidRPr="00D22765" w14:paraId="361DBDF5" w14:textId="77777777" w:rsidTr="00B64B9E">
        <w:trPr>
          <w:trHeight w:val="290"/>
          <w:jc w:val="right"/>
        </w:trPr>
        <w:tc>
          <w:tcPr>
            <w:tcW w:w="4536" w:type="dxa"/>
            <w:tcBorders>
              <w:top w:val="nil"/>
            </w:tcBorders>
          </w:tcPr>
          <w:p w14:paraId="410BAB96" w14:textId="77777777" w:rsidR="00B05CB6" w:rsidRPr="00D22765" w:rsidRDefault="00B05CB6" w:rsidP="00B64B9E">
            <w:pPr>
              <w:spacing w:after="40" w:line="360" w:lineRule="auto"/>
              <w:jc w:val="both"/>
              <w:rPr>
                <w:lang w:val="en-GB"/>
              </w:rPr>
            </w:pPr>
          </w:p>
        </w:tc>
        <w:tc>
          <w:tcPr>
            <w:tcW w:w="1701" w:type="dxa"/>
            <w:tcBorders>
              <w:top w:val="nil"/>
            </w:tcBorders>
          </w:tcPr>
          <w:p w14:paraId="77C2653E" w14:textId="77777777" w:rsidR="00B05CB6" w:rsidRPr="00D22765" w:rsidRDefault="00B05CB6" w:rsidP="00B64B9E">
            <w:pPr>
              <w:jc w:val="center"/>
              <w:rPr>
                <w:lang w:val="en-GB"/>
              </w:rPr>
            </w:pPr>
          </w:p>
        </w:tc>
        <w:tc>
          <w:tcPr>
            <w:tcW w:w="1348" w:type="dxa"/>
            <w:tcBorders>
              <w:top w:val="nil"/>
            </w:tcBorders>
          </w:tcPr>
          <w:p w14:paraId="77B2EDDC" w14:textId="77777777" w:rsidR="00B05CB6" w:rsidRPr="00D22765" w:rsidRDefault="00B05CB6" w:rsidP="00B64B9E">
            <w:pPr>
              <w:spacing w:after="40" w:line="360" w:lineRule="auto"/>
              <w:jc w:val="both"/>
              <w:rPr>
                <w:lang w:val="en-GB"/>
              </w:rPr>
            </w:pPr>
          </w:p>
        </w:tc>
        <w:tc>
          <w:tcPr>
            <w:tcW w:w="1559" w:type="dxa"/>
            <w:tcBorders>
              <w:top w:val="nil"/>
            </w:tcBorders>
          </w:tcPr>
          <w:p w14:paraId="265C1852" w14:textId="77777777" w:rsidR="00B05CB6" w:rsidRPr="00D22765" w:rsidRDefault="00B05CB6" w:rsidP="00B64B9E">
            <w:pPr>
              <w:spacing w:after="40" w:line="360" w:lineRule="auto"/>
              <w:jc w:val="both"/>
              <w:rPr>
                <w:lang w:val="en-GB"/>
              </w:rPr>
            </w:pPr>
          </w:p>
        </w:tc>
      </w:tr>
    </w:tbl>
    <w:p w14:paraId="37DC9796" w14:textId="3BB2A988" w:rsidR="00F775FE" w:rsidRPr="00D22765" w:rsidRDefault="00F775FE" w:rsidP="00B05CB6">
      <w:pPr>
        <w:jc w:val="both"/>
        <w:rPr>
          <w:lang w:val="en-GB"/>
        </w:rPr>
      </w:pPr>
    </w:p>
    <w:p w14:paraId="59668B5B" w14:textId="0EECE923" w:rsidR="000719FD" w:rsidRPr="00D22765" w:rsidRDefault="000719FD" w:rsidP="00CE63A6">
      <w:pPr>
        <w:jc w:val="both"/>
        <w:outlineLvl w:val="0"/>
        <w:rPr>
          <w:b/>
          <w:lang w:val="en-GB"/>
        </w:rPr>
      </w:pPr>
    </w:p>
    <w:p w14:paraId="4DFD08EF" w14:textId="4E34EA53" w:rsidR="000719FD" w:rsidRPr="00D22765" w:rsidRDefault="00CE63A6" w:rsidP="003A1318">
      <w:pPr>
        <w:jc w:val="both"/>
        <w:outlineLvl w:val="0"/>
        <w:rPr>
          <w:b/>
          <w:lang w:val="en-GB"/>
        </w:rPr>
      </w:pPr>
      <w:r w:rsidRPr="00D22765">
        <w:rPr>
          <w:b/>
          <w:lang w:val="en-GB"/>
        </w:rPr>
        <w:t>Guided City Tours</w:t>
      </w:r>
    </w:p>
    <w:p w14:paraId="39E51B70" w14:textId="0108957A" w:rsidR="000719FD" w:rsidRPr="00D22765" w:rsidRDefault="00CE63A6" w:rsidP="003A1318">
      <w:pPr>
        <w:jc w:val="both"/>
        <w:rPr>
          <w:lang w:val="en-GB"/>
        </w:rPr>
      </w:pPr>
      <w:r w:rsidRPr="00D22765">
        <w:rPr>
          <w:lang w:val="en-GB"/>
        </w:rPr>
        <w:t xml:space="preserve">Over 150 certified city guides currently offer their services to tourists. Guided city tours are possible on foot, by bicycle, horse-drawn carriage as well as in minibuses. A standard tour takes roughly 2.5 hours. Separate tours are also offered </w:t>
      </w:r>
      <w:r w:rsidR="00026256" w:rsidRPr="00D22765">
        <w:rPr>
          <w:lang w:val="en-GB"/>
        </w:rPr>
        <w:t>with</w:t>
      </w:r>
      <w:r w:rsidRPr="00D22765">
        <w:rPr>
          <w:lang w:val="en-GB"/>
        </w:rPr>
        <w:t xml:space="preserve"> special themes, including architecture, Mozart, </w:t>
      </w:r>
      <w:proofErr w:type="gramStart"/>
      <w:r w:rsidRPr="00D22765">
        <w:rPr>
          <w:lang w:val="en-GB"/>
        </w:rPr>
        <w:t>beer</w:t>
      </w:r>
      <w:proofErr w:type="gramEnd"/>
      <w:r w:rsidRPr="00D22765">
        <w:rPr>
          <w:lang w:val="en-GB"/>
        </w:rPr>
        <w:t xml:space="preserve"> </w:t>
      </w:r>
      <w:r w:rsidR="00026256" w:rsidRPr="00D22765">
        <w:rPr>
          <w:lang w:val="en-GB"/>
        </w:rPr>
        <w:t>and</w:t>
      </w:r>
      <w:r w:rsidRPr="00D22765">
        <w:rPr>
          <w:lang w:val="en-GB"/>
        </w:rPr>
        <w:t xml:space="preserve"> folklore</w:t>
      </w:r>
      <w:r w:rsidR="006C285D" w:rsidRPr="00D22765">
        <w:rPr>
          <w:lang w:val="en-GB"/>
        </w:rPr>
        <w:t>.</w:t>
      </w:r>
    </w:p>
    <w:p w14:paraId="7CDC3DB9" w14:textId="77777777" w:rsidR="00E1484C" w:rsidRPr="00D22765" w:rsidRDefault="00E1484C" w:rsidP="003A1318">
      <w:pPr>
        <w:jc w:val="both"/>
        <w:rPr>
          <w:lang w:val="en-GB"/>
        </w:rPr>
      </w:pPr>
    </w:p>
    <w:p w14:paraId="164CC18D" w14:textId="77777777" w:rsidR="000719FD" w:rsidRPr="00D22765" w:rsidRDefault="00C510CC" w:rsidP="003A1318">
      <w:pPr>
        <w:jc w:val="both"/>
        <w:rPr>
          <w:b/>
          <w:bCs/>
          <w:lang w:val="en-GB"/>
        </w:rPr>
      </w:pPr>
      <w:r w:rsidRPr="00D22765">
        <w:rPr>
          <w:b/>
          <w:bCs/>
          <w:lang w:val="en-GB"/>
        </w:rPr>
        <w:t>Salzburg Card</w:t>
      </w:r>
    </w:p>
    <w:p w14:paraId="28176CC9" w14:textId="27123FAA" w:rsidR="00002A32" w:rsidRPr="00D22765" w:rsidRDefault="00244992" w:rsidP="00C81C56">
      <w:pPr>
        <w:rPr>
          <w:lang w:val="en-GB"/>
        </w:rPr>
      </w:pPr>
      <w:r w:rsidRPr="00D22765">
        <w:rPr>
          <w:lang w:val="en-GB"/>
        </w:rPr>
        <w:t xml:space="preserve">This all-inclusive card grants one-time free admission to all sights and museums in the city, includes travel on public transport and additional attractive discounts for concerts and leisure activities in the city and province of Salzburg. In 2022, 171,557 (2021: 67,861) Cards were sold, with which 834,406 admissions (+157.31%) were generated. </w:t>
      </w:r>
      <w:r w:rsidR="009C4A1B" w:rsidRPr="00D22765">
        <w:rPr>
          <w:lang w:val="en-GB"/>
        </w:rPr>
        <w:t>The digital card, which was introduced in spring 2020, accounts for 21.78% of sales. The 72-hour card is already back at the same level as in 2019, while the 24-hour card is at around half. The distribution to the museums and attractions amounted to around € 3.5 million.</w:t>
      </w:r>
      <w:r w:rsidR="00622043" w:rsidRPr="00D22765">
        <w:rPr>
          <w:lang w:val="en-GB"/>
        </w:rPr>
        <w:t xml:space="preserve"> </w:t>
      </w:r>
    </w:p>
    <w:p w14:paraId="25B53144" w14:textId="77777777" w:rsidR="00650D52" w:rsidRPr="00D22765" w:rsidRDefault="00650D52" w:rsidP="003A1318">
      <w:pPr>
        <w:jc w:val="both"/>
        <w:rPr>
          <w:lang w:val="en-GB"/>
        </w:rPr>
      </w:pPr>
    </w:p>
    <w:p w14:paraId="1F1B3817" w14:textId="77777777" w:rsidR="009C4A1B" w:rsidRPr="00D22765" w:rsidRDefault="009C4A1B" w:rsidP="009C4A1B">
      <w:pPr>
        <w:jc w:val="both"/>
        <w:rPr>
          <w:b/>
          <w:lang w:val="en-GB"/>
        </w:rPr>
      </w:pPr>
      <w:r w:rsidRPr="00D22765">
        <w:rPr>
          <w:b/>
          <w:lang w:val="en-GB"/>
        </w:rPr>
        <w:t xml:space="preserve">Salzburg Congress and </w:t>
      </w:r>
      <w:proofErr w:type="spellStart"/>
      <w:r w:rsidRPr="00D22765">
        <w:rPr>
          <w:b/>
          <w:lang w:val="en-GB"/>
        </w:rPr>
        <w:t>Messezentrum</w:t>
      </w:r>
      <w:proofErr w:type="spellEnd"/>
      <w:r w:rsidRPr="00D22765">
        <w:rPr>
          <w:b/>
          <w:lang w:val="en-GB"/>
        </w:rPr>
        <w:t xml:space="preserve"> Salzburg</w:t>
      </w:r>
    </w:p>
    <w:p w14:paraId="72437F07" w14:textId="77777777" w:rsidR="009C4A1B" w:rsidRPr="00D22765" w:rsidRDefault="009C4A1B" w:rsidP="009C4A1B">
      <w:pPr>
        <w:jc w:val="both"/>
        <w:rPr>
          <w:bCs/>
          <w:lang w:val="en-GB"/>
        </w:rPr>
      </w:pPr>
      <w:r w:rsidRPr="00D22765">
        <w:rPr>
          <w:bCs/>
          <w:lang w:val="en-GB"/>
        </w:rPr>
        <w:t xml:space="preserve">Salzburg Congress recorded a total of 106 (2021: 89, 2019: 106) events with 55,987 visitors in 2022. This resulted in 237 (2021: 170) occupied days and brought the Salzburg hotel sector around 26,500 (2021: 11,270) overnight stays. </w:t>
      </w:r>
    </w:p>
    <w:p w14:paraId="226D23FC" w14:textId="77777777" w:rsidR="009C4A1B" w:rsidRPr="00D22765" w:rsidRDefault="009C4A1B" w:rsidP="009C4A1B">
      <w:pPr>
        <w:jc w:val="both"/>
        <w:rPr>
          <w:bCs/>
          <w:lang w:val="en-GB"/>
        </w:rPr>
      </w:pPr>
    </w:p>
    <w:p w14:paraId="500A3883" w14:textId="77777777" w:rsidR="009C4A1B" w:rsidRPr="00D22765" w:rsidRDefault="009C4A1B" w:rsidP="009C4A1B">
      <w:pPr>
        <w:jc w:val="both"/>
        <w:rPr>
          <w:bCs/>
          <w:lang w:val="en-GB"/>
        </w:rPr>
      </w:pPr>
      <w:r w:rsidRPr="00D22765">
        <w:rPr>
          <w:bCs/>
          <w:lang w:val="en-GB"/>
        </w:rPr>
        <w:lastRenderedPageBreak/>
        <w:t xml:space="preserve">The </w:t>
      </w:r>
      <w:proofErr w:type="spellStart"/>
      <w:r w:rsidRPr="00D22765">
        <w:rPr>
          <w:bCs/>
          <w:lang w:val="en-GB"/>
        </w:rPr>
        <w:t>Messezentrum</w:t>
      </w:r>
      <w:proofErr w:type="spellEnd"/>
      <w:r w:rsidRPr="00D22765">
        <w:rPr>
          <w:bCs/>
          <w:lang w:val="en-GB"/>
        </w:rPr>
        <w:t xml:space="preserve"> Salzburg and the </w:t>
      </w:r>
      <w:proofErr w:type="spellStart"/>
      <w:r w:rsidRPr="00D22765">
        <w:rPr>
          <w:bCs/>
          <w:lang w:val="en-GB"/>
        </w:rPr>
        <w:t>Salzburgarena</w:t>
      </w:r>
      <w:proofErr w:type="spellEnd"/>
      <w:r w:rsidRPr="00D22765">
        <w:rPr>
          <w:bCs/>
          <w:lang w:val="en-GB"/>
        </w:rPr>
        <w:t xml:space="preserve"> hosted 90 (2021: 54) events with 441,287 (2021: 124,585) visitors in the past year. </w:t>
      </w:r>
    </w:p>
    <w:p w14:paraId="3326DBBF" w14:textId="77777777" w:rsidR="009C4A1B" w:rsidRPr="00D22765" w:rsidRDefault="009C4A1B" w:rsidP="009C4A1B">
      <w:pPr>
        <w:jc w:val="both"/>
        <w:rPr>
          <w:b/>
          <w:lang w:val="en-GB"/>
        </w:rPr>
      </w:pPr>
    </w:p>
    <w:p w14:paraId="74C90646" w14:textId="77777777" w:rsidR="009C4A1B" w:rsidRPr="00D22765" w:rsidRDefault="009C4A1B" w:rsidP="009C4A1B">
      <w:pPr>
        <w:jc w:val="both"/>
        <w:rPr>
          <w:b/>
          <w:lang w:val="en-GB"/>
        </w:rPr>
      </w:pPr>
      <w:r w:rsidRPr="00D22765">
        <w:rPr>
          <w:b/>
          <w:lang w:val="en-GB"/>
        </w:rPr>
        <w:t>Salzburg Airport W. A. Mozart</w:t>
      </w:r>
    </w:p>
    <w:p w14:paraId="330B6EDC" w14:textId="04DE1342" w:rsidR="003460B1" w:rsidRPr="00D22765" w:rsidRDefault="009C4A1B" w:rsidP="009C4A1B">
      <w:pPr>
        <w:jc w:val="both"/>
        <w:rPr>
          <w:bCs/>
          <w:lang w:val="en-GB"/>
        </w:rPr>
      </w:pPr>
      <w:r w:rsidRPr="00D22765">
        <w:rPr>
          <w:bCs/>
          <w:lang w:val="en-GB"/>
        </w:rPr>
        <w:t>Salzburg Airport was able to recover significantly in 2022 and recorded 1,229,495 passengers. Before the crisis, this figure was around 1.8 million, and just under 300,000 in the previous year. A total of 54,302 aircraft movements were handled in commercial air traffic, compared with 3,677 in the same period in 2021.</w:t>
      </w:r>
    </w:p>
    <w:p w14:paraId="56958F76" w14:textId="42AD7C75" w:rsidR="009C4A1B" w:rsidRPr="00D22765" w:rsidRDefault="009C4A1B" w:rsidP="009C4A1B">
      <w:pPr>
        <w:jc w:val="both"/>
        <w:rPr>
          <w:b/>
          <w:lang w:val="en-GB"/>
        </w:rPr>
      </w:pPr>
    </w:p>
    <w:p w14:paraId="148C5F23" w14:textId="77777777" w:rsidR="009C4A1B" w:rsidRPr="00D22765" w:rsidRDefault="009C4A1B" w:rsidP="009C4A1B">
      <w:pPr>
        <w:jc w:val="both"/>
        <w:rPr>
          <w:bCs/>
          <w:highlight w:val="yellow"/>
          <w:lang w:val="en-GB"/>
        </w:rPr>
      </w:pPr>
    </w:p>
    <w:p w14:paraId="2224FCB9" w14:textId="731FAE77" w:rsidR="000719FD" w:rsidRPr="00D22765" w:rsidRDefault="007D1C36" w:rsidP="003A1318">
      <w:pPr>
        <w:jc w:val="both"/>
        <w:rPr>
          <w:sz w:val="18"/>
          <w:szCs w:val="18"/>
          <w:lang w:val="en-GB"/>
        </w:rPr>
      </w:pPr>
      <w:r w:rsidRPr="00D22765">
        <w:rPr>
          <w:sz w:val="18"/>
          <w:szCs w:val="18"/>
          <w:lang w:val="en-GB"/>
        </w:rPr>
        <w:t>Status</w:t>
      </w:r>
      <w:r w:rsidR="002C5F48" w:rsidRPr="00D22765">
        <w:rPr>
          <w:sz w:val="18"/>
          <w:szCs w:val="18"/>
          <w:lang w:val="en-GB"/>
        </w:rPr>
        <w:t xml:space="preserve">: </w:t>
      </w:r>
      <w:r w:rsidR="009C4A1B" w:rsidRPr="00D22765">
        <w:rPr>
          <w:sz w:val="18"/>
          <w:szCs w:val="18"/>
          <w:lang w:val="en-GB"/>
        </w:rPr>
        <w:t>17</w:t>
      </w:r>
      <w:r w:rsidRPr="00D22765">
        <w:rPr>
          <w:sz w:val="18"/>
          <w:szCs w:val="18"/>
          <w:lang w:val="en-GB"/>
        </w:rPr>
        <w:t xml:space="preserve"> </w:t>
      </w:r>
      <w:r w:rsidR="00B1123A" w:rsidRPr="00D22765">
        <w:rPr>
          <w:sz w:val="18"/>
          <w:szCs w:val="18"/>
          <w:lang w:val="en-GB"/>
        </w:rPr>
        <w:t>April</w:t>
      </w:r>
      <w:r w:rsidR="00F775FE" w:rsidRPr="00D22765">
        <w:rPr>
          <w:sz w:val="18"/>
          <w:szCs w:val="18"/>
          <w:lang w:val="en-GB"/>
        </w:rPr>
        <w:t xml:space="preserve"> 20</w:t>
      </w:r>
      <w:r w:rsidR="006773EA" w:rsidRPr="00D22765">
        <w:rPr>
          <w:sz w:val="18"/>
          <w:szCs w:val="18"/>
          <w:lang w:val="en-GB"/>
        </w:rPr>
        <w:t>2</w:t>
      </w:r>
      <w:r w:rsidR="009C4A1B" w:rsidRPr="00D22765">
        <w:rPr>
          <w:sz w:val="18"/>
          <w:szCs w:val="18"/>
          <w:lang w:val="en-GB"/>
        </w:rPr>
        <w:t>3</w:t>
      </w:r>
      <w:r w:rsidR="000719FD" w:rsidRPr="00D22765">
        <w:rPr>
          <w:i/>
          <w:sz w:val="18"/>
          <w:szCs w:val="18"/>
          <w:lang w:val="en-GB"/>
        </w:rPr>
        <w:t xml:space="preserve"> </w:t>
      </w:r>
    </w:p>
    <w:p w14:paraId="000015AF" w14:textId="02EF1966" w:rsidR="000719FD" w:rsidRPr="00D22765" w:rsidRDefault="007D1C36" w:rsidP="003A1318">
      <w:pPr>
        <w:jc w:val="both"/>
        <w:rPr>
          <w:i/>
          <w:sz w:val="18"/>
          <w:szCs w:val="18"/>
          <w:lang w:val="en-GB"/>
        </w:rPr>
      </w:pPr>
      <w:r w:rsidRPr="00D22765">
        <w:rPr>
          <w:i/>
          <w:sz w:val="18"/>
          <w:szCs w:val="18"/>
          <w:lang w:val="en-GB"/>
        </w:rPr>
        <w:t xml:space="preserve">Source: Salzburg municipal </w:t>
      </w:r>
      <w:r w:rsidR="009C4A1B" w:rsidRPr="00D22765">
        <w:rPr>
          <w:i/>
          <w:sz w:val="18"/>
          <w:szCs w:val="18"/>
          <w:lang w:val="en-GB"/>
        </w:rPr>
        <w:t>government</w:t>
      </w:r>
      <w:r w:rsidRPr="00D22765">
        <w:rPr>
          <w:i/>
          <w:sz w:val="18"/>
          <w:szCs w:val="18"/>
          <w:lang w:val="en-GB"/>
        </w:rPr>
        <w:t>: city archive and statistical office as well as our own internal records</w:t>
      </w:r>
    </w:p>
    <w:p w14:paraId="1E4C9133" w14:textId="77777777" w:rsidR="000719FD" w:rsidRPr="00D22765" w:rsidRDefault="000719FD" w:rsidP="003A1318">
      <w:pPr>
        <w:jc w:val="both"/>
        <w:rPr>
          <w:i/>
          <w:sz w:val="18"/>
          <w:szCs w:val="18"/>
          <w:lang w:val="en-GB"/>
        </w:rPr>
      </w:pPr>
    </w:p>
    <w:p w14:paraId="7A6B14F6" w14:textId="77777777" w:rsidR="005A338D" w:rsidRPr="00D22765" w:rsidRDefault="005A338D" w:rsidP="003A1318">
      <w:pPr>
        <w:jc w:val="both"/>
        <w:rPr>
          <w:sz w:val="18"/>
          <w:szCs w:val="18"/>
          <w:lang w:val="en-GB"/>
        </w:rPr>
      </w:pPr>
    </w:p>
    <w:p w14:paraId="6196E620" w14:textId="77777777" w:rsidR="00AC5E81" w:rsidRDefault="00AC5E81" w:rsidP="00AC5E81">
      <w:pPr>
        <w:autoSpaceDE w:val="0"/>
        <w:autoSpaceDN w:val="0"/>
        <w:adjustRightInd w:val="0"/>
        <w:rPr>
          <w:b/>
          <w:bCs/>
          <w:sz w:val="20"/>
          <w:szCs w:val="20"/>
          <w:lang w:val="de-DE"/>
        </w:rPr>
      </w:pPr>
      <w:r>
        <w:rPr>
          <w:b/>
          <w:bCs/>
          <w:sz w:val="20"/>
          <w:szCs w:val="20"/>
          <w:lang w:val="de-DE"/>
        </w:rPr>
        <w:t xml:space="preserve">Further </w:t>
      </w:r>
      <w:proofErr w:type="spellStart"/>
      <w:r>
        <w:rPr>
          <w:b/>
          <w:bCs/>
          <w:sz w:val="20"/>
          <w:szCs w:val="20"/>
          <w:lang w:val="de-DE"/>
        </w:rPr>
        <w:t>details</w:t>
      </w:r>
      <w:proofErr w:type="spellEnd"/>
      <w:r>
        <w:rPr>
          <w:b/>
          <w:bCs/>
          <w:sz w:val="20"/>
          <w:szCs w:val="20"/>
          <w:lang w:val="de-DE"/>
        </w:rPr>
        <w:t xml:space="preserve">: </w:t>
      </w:r>
    </w:p>
    <w:p w14:paraId="750751F5" w14:textId="77777777" w:rsidR="00AC5E81" w:rsidRDefault="00AC5E81" w:rsidP="00AC5E81">
      <w:pPr>
        <w:pStyle w:val="Textkrper3"/>
        <w:tabs>
          <w:tab w:val="left" w:pos="8100"/>
          <w:tab w:val="left" w:pos="8460"/>
        </w:tabs>
        <w:spacing w:after="0"/>
        <w:ind w:right="792"/>
        <w:rPr>
          <w:sz w:val="18"/>
          <w:szCs w:val="18"/>
          <w:lang w:val="de-DE"/>
        </w:rPr>
      </w:pPr>
      <w:r>
        <w:rPr>
          <w:sz w:val="18"/>
          <w:szCs w:val="18"/>
          <w:lang w:val="de-DE"/>
        </w:rPr>
        <w:t xml:space="preserve">Tourismus Salzburg, </w:t>
      </w:r>
      <w:proofErr w:type="spellStart"/>
      <w:r>
        <w:rPr>
          <w:sz w:val="18"/>
          <w:szCs w:val="18"/>
          <w:lang w:val="de-DE"/>
        </w:rPr>
        <w:t>Auerspergstrasse</w:t>
      </w:r>
      <w:proofErr w:type="spellEnd"/>
      <w:r>
        <w:rPr>
          <w:sz w:val="18"/>
          <w:szCs w:val="18"/>
          <w:lang w:val="de-DE"/>
        </w:rPr>
        <w:t xml:space="preserve"> 6, 5020 Salzburg, Austria</w:t>
      </w:r>
    </w:p>
    <w:p w14:paraId="34E01945" w14:textId="77777777" w:rsidR="00AC5E81" w:rsidRPr="00AC5E81" w:rsidRDefault="00AC5E81" w:rsidP="00AC5E81">
      <w:pPr>
        <w:pStyle w:val="Textkrper3"/>
        <w:tabs>
          <w:tab w:val="left" w:pos="8100"/>
          <w:tab w:val="left" w:pos="8460"/>
        </w:tabs>
        <w:spacing w:after="0"/>
        <w:ind w:right="792"/>
        <w:rPr>
          <w:rStyle w:val="Hyperlink"/>
          <w:lang w:val="de-DE"/>
        </w:rPr>
      </w:pPr>
      <w:r>
        <w:rPr>
          <w:sz w:val="18"/>
          <w:szCs w:val="18"/>
          <w:lang w:val="de-DE"/>
        </w:rPr>
        <w:t xml:space="preserve">Tel.: +43/662/889 87 - 0, #visitsalzburg, </w:t>
      </w:r>
      <w:hyperlink r:id="rId8" w:history="1">
        <w:r>
          <w:rPr>
            <w:rStyle w:val="Hyperlink"/>
            <w:sz w:val="18"/>
            <w:szCs w:val="18"/>
            <w:lang w:val="de-DE"/>
          </w:rPr>
          <w:t>www.salzburg.info</w:t>
        </w:r>
      </w:hyperlink>
    </w:p>
    <w:p w14:paraId="143629E3" w14:textId="77777777" w:rsidR="00AC5E81" w:rsidRDefault="00AC5E81" w:rsidP="00AC5E81">
      <w:pPr>
        <w:pStyle w:val="Textkrper3"/>
        <w:tabs>
          <w:tab w:val="left" w:pos="8100"/>
          <w:tab w:val="left" w:pos="8460"/>
        </w:tabs>
        <w:spacing w:after="0"/>
        <w:ind w:right="792"/>
      </w:pPr>
      <w:r w:rsidRPr="00AC5E81">
        <w:rPr>
          <w:rStyle w:val="Hyperlink"/>
          <w:sz w:val="18"/>
          <w:szCs w:val="18"/>
          <w:lang w:val="de-DE"/>
        </w:rPr>
        <w:t>presse@salzburg.info</w:t>
      </w:r>
    </w:p>
    <w:p w14:paraId="641063DD" w14:textId="77777777" w:rsidR="00D21C2A" w:rsidRPr="00AC5E81" w:rsidRDefault="00D21C2A" w:rsidP="003D1E21">
      <w:pPr>
        <w:jc w:val="both"/>
        <w:rPr>
          <w:b/>
          <w:sz w:val="18"/>
          <w:szCs w:val="18"/>
        </w:rPr>
      </w:pPr>
    </w:p>
    <w:sectPr w:rsidR="00D21C2A" w:rsidRPr="00AC5E81" w:rsidSect="00CE1CDF">
      <w:headerReference w:type="default" r:id="rId9"/>
      <w:footerReference w:type="default" r:id="rId10"/>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E4C0" w14:textId="77777777" w:rsidR="00606A5D" w:rsidRDefault="00606A5D" w:rsidP="00790AA5">
      <w:r>
        <w:separator/>
      </w:r>
    </w:p>
  </w:endnote>
  <w:endnote w:type="continuationSeparator" w:id="0">
    <w:p w14:paraId="2C085DCC" w14:textId="77777777" w:rsidR="00606A5D" w:rsidRDefault="00606A5D"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FE9D" w14:textId="77777777" w:rsidR="001E6B05" w:rsidRDefault="001E6B05" w:rsidP="006B2844">
    <w:pPr>
      <w:pStyle w:val="Kopfzeile"/>
    </w:pPr>
  </w:p>
  <w:p w14:paraId="25E7C320" w14:textId="77777777" w:rsidR="001E6B05" w:rsidRDefault="00B43D2F" w:rsidP="006B2844">
    <w:pPr>
      <w:pStyle w:val="Fuzeile"/>
    </w:pPr>
    <w:r>
      <w:rPr>
        <w:noProof/>
      </w:rPr>
      <w:drawing>
        <wp:anchor distT="0" distB="0" distL="114300" distR="114300" simplePos="0" relativeHeight="251657216" behindDoc="1" locked="0" layoutInCell="1" allowOverlap="1" wp14:anchorId="7E367A1B" wp14:editId="0AF74E5B">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B0B5" w14:textId="77777777" w:rsidR="00606A5D" w:rsidRDefault="00606A5D" w:rsidP="00790AA5">
      <w:r>
        <w:separator/>
      </w:r>
    </w:p>
  </w:footnote>
  <w:footnote w:type="continuationSeparator" w:id="0">
    <w:p w14:paraId="76438249" w14:textId="77777777" w:rsidR="00606A5D" w:rsidRDefault="00606A5D"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59E9" w14:textId="5C5D8519" w:rsidR="001E6B05" w:rsidRDefault="00806FAA">
    <w:pPr>
      <w:pStyle w:val="Kopfzeile"/>
    </w:pPr>
    <w:r>
      <w:rPr>
        <w:noProof/>
      </w:rPr>
      <w:drawing>
        <wp:anchor distT="0" distB="0" distL="114300" distR="114300" simplePos="0" relativeHeight="251660288" behindDoc="1" locked="0" layoutInCell="1" allowOverlap="1" wp14:anchorId="5FEE4AB8" wp14:editId="6F97C395">
          <wp:simplePos x="0" y="0"/>
          <wp:positionH relativeFrom="column">
            <wp:posOffset>4747895</wp:posOffset>
          </wp:positionH>
          <wp:positionV relativeFrom="paragraph">
            <wp:posOffset>26035</wp:posOffset>
          </wp:positionV>
          <wp:extent cx="1278000" cy="673200"/>
          <wp:effectExtent l="0" t="0" r="0" b="0"/>
          <wp:wrapTight wrapText="bothSides">
            <wp:wrapPolygon edited="0">
              <wp:start x="0" y="0"/>
              <wp:lineTo x="0" y="20785"/>
              <wp:lineTo x="21256" y="20785"/>
              <wp:lineTo x="2125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SG_eng.jpg"/>
                  <pic:cNvPicPr/>
                </pic:nvPicPr>
                <pic:blipFill>
                  <a:blip r:embed="rId1"/>
                  <a:stretch>
                    <a:fillRect/>
                  </a:stretch>
                </pic:blipFill>
                <pic:spPr>
                  <a:xfrm>
                    <a:off x="0" y="0"/>
                    <a:ext cx="1278000" cy="673200"/>
                  </a:xfrm>
                  <a:prstGeom prst="rect">
                    <a:avLst/>
                  </a:prstGeom>
                </pic:spPr>
              </pic:pic>
            </a:graphicData>
          </a:graphic>
          <wp14:sizeRelH relativeFrom="margin">
            <wp14:pctWidth>0</wp14:pctWidth>
          </wp14:sizeRelH>
          <wp14:sizeRelV relativeFrom="margin">
            <wp14:pctHeight>0</wp14:pctHeight>
          </wp14:sizeRelV>
        </wp:anchor>
      </w:drawing>
    </w:r>
  </w:p>
  <w:p w14:paraId="0F760914" w14:textId="1AF77C2D" w:rsidR="005E6FEA" w:rsidRPr="00476685" w:rsidRDefault="005E6FEA" w:rsidP="005E6FEA">
    <w:pPr>
      <w:tabs>
        <w:tab w:val="left" w:pos="6804"/>
      </w:tabs>
      <w:rPr>
        <w:sz w:val="20"/>
        <w:szCs w:val="20"/>
      </w:rPr>
    </w:pPr>
    <w:r w:rsidRPr="00305D76">
      <w:rPr>
        <w:sz w:val="28"/>
        <w:szCs w:val="28"/>
      </w:rPr>
      <w:t>PRESS</w:t>
    </w:r>
    <w:r w:rsidR="005C63BE">
      <w:rPr>
        <w:sz w:val="28"/>
        <w:szCs w:val="28"/>
      </w:rPr>
      <w:t xml:space="preserve"> </w:t>
    </w:r>
    <w:r w:rsidRPr="00305D76">
      <w:rPr>
        <w:sz w:val="28"/>
        <w:szCs w:val="28"/>
      </w:rPr>
      <w:t xml:space="preserve">INFORMATION </w:t>
    </w:r>
  </w:p>
  <w:p w14:paraId="3E46F80B"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28C7E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677264"/>
    <w:multiLevelType w:val="hybridMultilevel"/>
    <w:tmpl w:val="4868531C"/>
    <w:lvl w:ilvl="0" w:tplc="0C070009">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796430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492444">
    <w:abstractNumId w:val="2"/>
  </w:num>
  <w:num w:numId="3" w16cid:durableId="1127622524">
    <w:abstractNumId w:val="4"/>
  </w:num>
  <w:num w:numId="4" w16cid:durableId="1783919431">
    <w:abstractNumId w:val="3"/>
  </w:num>
  <w:num w:numId="5" w16cid:durableId="1212154764">
    <w:abstractNumId w:val="0"/>
  </w:num>
  <w:num w:numId="6" w16cid:durableId="1151291616">
    <w:abstractNumId w:val="1"/>
  </w:num>
  <w:num w:numId="7" w16cid:durableId="167244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2A32"/>
    <w:rsid w:val="00003000"/>
    <w:rsid w:val="0000340A"/>
    <w:rsid w:val="0000560E"/>
    <w:rsid w:val="00014A5E"/>
    <w:rsid w:val="00016F49"/>
    <w:rsid w:val="0002215B"/>
    <w:rsid w:val="000225AF"/>
    <w:rsid w:val="00026256"/>
    <w:rsid w:val="00032C84"/>
    <w:rsid w:val="0003372E"/>
    <w:rsid w:val="00033EB6"/>
    <w:rsid w:val="00036C81"/>
    <w:rsid w:val="0004106D"/>
    <w:rsid w:val="00044317"/>
    <w:rsid w:val="0006136A"/>
    <w:rsid w:val="0006543A"/>
    <w:rsid w:val="0006625D"/>
    <w:rsid w:val="000719FD"/>
    <w:rsid w:val="00080ED9"/>
    <w:rsid w:val="000939D4"/>
    <w:rsid w:val="000A1430"/>
    <w:rsid w:val="000A3B35"/>
    <w:rsid w:val="000A47F0"/>
    <w:rsid w:val="000A6AEE"/>
    <w:rsid w:val="000B0D44"/>
    <w:rsid w:val="000B382F"/>
    <w:rsid w:val="000B55B0"/>
    <w:rsid w:val="000B6AA5"/>
    <w:rsid w:val="000B74C8"/>
    <w:rsid w:val="000C0FC6"/>
    <w:rsid w:val="000C171D"/>
    <w:rsid w:val="000C176D"/>
    <w:rsid w:val="000C53B0"/>
    <w:rsid w:val="000C67FB"/>
    <w:rsid w:val="000C760C"/>
    <w:rsid w:val="000D40CB"/>
    <w:rsid w:val="000D5619"/>
    <w:rsid w:val="000D68B6"/>
    <w:rsid w:val="000E2AA8"/>
    <w:rsid w:val="000E2F83"/>
    <w:rsid w:val="000E38E0"/>
    <w:rsid w:val="000E7CD0"/>
    <w:rsid w:val="000F17FD"/>
    <w:rsid w:val="000F1B1B"/>
    <w:rsid w:val="000F24E8"/>
    <w:rsid w:val="000F5C5A"/>
    <w:rsid w:val="000F6B78"/>
    <w:rsid w:val="000F7442"/>
    <w:rsid w:val="00103C2B"/>
    <w:rsid w:val="00113069"/>
    <w:rsid w:val="001141DA"/>
    <w:rsid w:val="0011446D"/>
    <w:rsid w:val="001200E2"/>
    <w:rsid w:val="001214A8"/>
    <w:rsid w:val="00122F7B"/>
    <w:rsid w:val="0012535A"/>
    <w:rsid w:val="00126DC5"/>
    <w:rsid w:val="00132F08"/>
    <w:rsid w:val="001337C2"/>
    <w:rsid w:val="00140059"/>
    <w:rsid w:val="0015046E"/>
    <w:rsid w:val="00153384"/>
    <w:rsid w:val="001535A2"/>
    <w:rsid w:val="00155249"/>
    <w:rsid w:val="0016310C"/>
    <w:rsid w:val="001650AC"/>
    <w:rsid w:val="00174055"/>
    <w:rsid w:val="00182913"/>
    <w:rsid w:val="001865DC"/>
    <w:rsid w:val="00192130"/>
    <w:rsid w:val="0019264A"/>
    <w:rsid w:val="00197D63"/>
    <w:rsid w:val="001A159E"/>
    <w:rsid w:val="001A2EB8"/>
    <w:rsid w:val="001B614C"/>
    <w:rsid w:val="001B76E3"/>
    <w:rsid w:val="001C03EE"/>
    <w:rsid w:val="001C06E0"/>
    <w:rsid w:val="001D0DAF"/>
    <w:rsid w:val="001D171C"/>
    <w:rsid w:val="001D4582"/>
    <w:rsid w:val="001D4D3B"/>
    <w:rsid w:val="001E50B0"/>
    <w:rsid w:val="001E6B05"/>
    <w:rsid w:val="001F11A0"/>
    <w:rsid w:val="001F4719"/>
    <w:rsid w:val="001F598D"/>
    <w:rsid w:val="0020068B"/>
    <w:rsid w:val="00202FE7"/>
    <w:rsid w:val="0021145B"/>
    <w:rsid w:val="002115A4"/>
    <w:rsid w:val="0021593A"/>
    <w:rsid w:val="00215F80"/>
    <w:rsid w:val="00216581"/>
    <w:rsid w:val="00217330"/>
    <w:rsid w:val="0022003A"/>
    <w:rsid w:val="00220C1B"/>
    <w:rsid w:val="0022170E"/>
    <w:rsid w:val="00222995"/>
    <w:rsid w:val="00236E0E"/>
    <w:rsid w:val="00236F66"/>
    <w:rsid w:val="00242487"/>
    <w:rsid w:val="00242E6A"/>
    <w:rsid w:val="002442AC"/>
    <w:rsid w:val="00244992"/>
    <w:rsid w:val="00246444"/>
    <w:rsid w:val="00253DBE"/>
    <w:rsid w:val="002569A9"/>
    <w:rsid w:val="00262053"/>
    <w:rsid w:val="00271CD0"/>
    <w:rsid w:val="00277F3B"/>
    <w:rsid w:val="00285227"/>
    <w:rsid w:val="002909C8"/>
    <w:rsid w:val="00293C0B"/>
    <w:rsid w:val="00294E7E"/>
    <w:rsid w:val="002973FA"/>
    <w:rsid w:val="002A58F9"/>
    <w:rsid w:val="002A684C"/>
    <w:rsid w:val="002A709B"/>
    <w:rsid w:val="002A7D2B"/>
    <w:rsid w:val="002B1D16"/>
    <w:rsid w:val="002B30CE"/>
    <w:rsid w:val="002B6E4F"/>
    <w:rsid w:val="002B6FB7"/>
    <w:rsid w:val="002C3008"/>
    <w:rsid w:val="002C55FD"/>
    <w:rsid w:val="002C5F48"/>
    <w:rsid w:val="002D37BF"/>
    <w:rsid w:val="002D3C89"/>
    <w:rsid w:val="002E0FB6"/>
    <w:rsid w:val="002E1600"/>
    <w:rsid w:val="002E1CDF"/>
    <w:rsid w:val="002E5BF1"/>
    <w:rsid w:val="002E6A12"/>
    <w:rsid w:val="002F1EB6"/>
    <w:rsid w:val="002F573B"/>
    <w:rsid w:val="00302D32"/>
    <w:rsid w:val="003041BE"/>
    <w:rsid w:val="003061ED"/>
    <w:rsid w:val="00306398"/>
    <w:rsid w:val="00306E06"/>
    <w:rsid w:val="00310A55"/>
    <w:rsid w:val="00313807"/>
    <w:rsid w:val="003175F9"/>
    <w:rsid w:val="00317DA3"/>
    <w:rsid w:val="0032583B"/>
    <w:rsid w:val="003328EA"/>
    <w:rsid w:val="00333039"/>
    <w:rsid w:val="00333611"/>
    <w:rsid w:val="003421BA"/>
    <w:rsid w:val="003460B1"/>
    <w:rsid w:val="00350212"/>
    <w:rsid w:val="00351023"/>
    <w:rsid w:val="00354A2D"/>
    <w:rsid w:val="00355D7C"/>
    <w:rsid w:val="00356F08"/>
    <w:rsid w:val="00360534"/>
    <w:rsid w:val="00360AC8"/>
    <w:rsid w:val="00364443"/>
    <w:rsid w:val="00365EF1"/>
    <w:rsid w:val="003716AA"/>
    <w:rsid w:val="003731EE"/>
    <w:rsid w:val="0037393C"/>
    <w:rsid w:val="00373BA9"/>
    <w:rsid w:val="00374B5E"/>
    <w:rsid w:val="003769D4"/>
    <w:rsid w:val="0037724E"/>
    <w:rsid w:val="00382220"/>
    <w:rsid w:val="00390D35"/>
    <w:rsid w:val="003A1318"/>
    <w:rsid w:val="003A28D0"/>
    <w:rsid w:val="003A78DA"/>
    <w:rsid w:val="003B4CF9"/>
    <w:rsid w:val="003C287E"/>
    <w:rsid w:val="003C51C1"/>
    <w:rsid w:val="003C59D3"/>
    <w:rsid w:val="003C7048"/>
    <w:rsid w:val="003D1E21"/>
    <w:rsid w:val="003D6216"/>
    <w:rsid w:val="003D7701"/>
    <w:rsid w:val="003E4FA9"/>
    <w:rsid w:val="003F3C71"/>
    <w:rsid w:val="003F4B1D"/>
    <w:rsid w:val="003F5CA6"/>
    <w:rsid w:val="00402797"/>
    <w:rsid w:val="00403644"/>
    <w:rsid w:val="00406D96"/>
    <w:rsid w:val="004108B5"/>
    <w:rsid w:val="004127AB"/>
    <w:rsid w:val="00416DEF"/>
    <w:rsid w:val="00420FBE"/>
    <w:rsid w:val="00423249"/>
    <w:rsid w:val="004252A3"/>
    <w:rsid w:val="00425B23"/>
    <w:rsid w:val="00426744"/>
    <w:rsid w:val="00442FC1"/>
    <w:rsid w:val="004433B5"/>
    <w:rsid w:val="00446572"/>
    <w:rsid w:val="00447A93"/>
    <w:rsid w:val="004504D6"/>
    <w:rsid w:val="00456CE2"/>
    <w:rsid w:val="00457470"/>
    <w:rsid w:val="004602A3"/>
    <w:rsid w:val="00464972"/>
    <w:rsid w:val="00465658"/>
    <w:rsid w:val="004658CA"/>
    <w:rsid w:val="0046606B"/>
    <w:rsid w:val="004668E2"/>
    <w:rsid w:val="00470A26"/>
    <w:rsid w:val="00470EE4"/>
    <w:rsid w:val="00476293"/>
    <w:rsid w:val="00476685"/>
    <w:rsid w:val="00477307"/>
    <w:rsid w:val="00481214"/>
    <w:rsid w:val="00481C8E"/>
    <w:rsid w:val="00486CE8"/>
    <w:rsid w:val="004A00C8"/>
    <w:rsid w:val="004A0366"/>
    <w:rsid w:val="004A2EE1"/>
    <w:rsid w:val="004A7312"/>
    <w:rsid w:val="004B3006"/>
    <w:rsid w:val="004B6BDF"/>
    <w:rsid w:val="004C28FA"/>
    <w:rsid w:val="004C5601"/>
    <w:rsid w:val="004C58F3"/>
    <w:rsid w:val="004E5134"/>
    <w:rsid w:val="004E68B8"/>
    <w:rsid w:val="00513D2C"/>
    <w:rsid w:val="00516B0B"/>
    <w:rsid w:val="005204DF"/>
    <w:rsid w:val="00520876"/>
    <w:rsid w:val="00522641"/>
    <w:rsid w:val="00522C7B"/>
    <w:rsid w:val="00523199"/>
    <w:rsid w:val="00526266"/>
    <w:rsid w:val="00526DCD"/>
    <w:rsid w:val="00530F76"/>
    <w:rsid w:val="0053285B"/>
    <w:rsid w:val="0053732B"/>
    <w:rsid w:val="00537DFC"/>
    <w:rsid w:val="0054065E"/>
    <w:rsid w:val="0054532A"/>
    <w:rsid w:val="005466C3"/>
    <w:rsid w:val="00550978"/>
    <w:rsid w:val="00554CAA"/>
    <w:rsid w:val="0056057B"/>
    <w:rsid w:val="00560B36"/>
    <w:rsid w:val="00566396"/>
    <w:rsid w:val="00572EA7"/>
    <w:rsid w:val="00575054"/>
    <w:rsid w:val="00580BC3"/>
    <w:rsid w:val="0058359F"/>
    <w:rsid w:val="005947B2"/>
    <w:rsid w:val="00596C19"/>
    <w:rsid w:val="005A20C2"/>
    <w:rsid w:val="005A338D"/>
    <w:rsid w:val="005A58A1"/>
    <w:rsid w:val="005B0A3A"/>
    <w:rsid w:val="005B4643"/>
    <w:rsid w:val="005B5FD6"/>
    <w:rsid w:val="005C49FB"/>
    <w:rsid w:val="005C63BE"/>
    <w:rsid w:val="005D5F29"/>
    <w:rsid w:val="005E4868"/>
    <w:rsid w:val="005E67A5"/>
    <w:rsid w:val="005E6FEA"/>
    <w:rsid w:val="005F669C"/>
    <w:rsid w:val="005F7DA9"/>
    <w:rsid w:val="00602184"/>
    <w:rsid w:val="0060266E"/>
    <w:rsid w:val="00603BCB"/>
    <w:rsid w:val="0060505E"/>
    <w:rsid w:val="006051E4"/>
    <w:rsid w:val="00606A5D"/>
    <w:rsid w:val="00613222"/>
    <w:rsid w:val="00615213"/>
    <w:rsid w:val="00622043"/>
    <w:rsid w:val="00623F24"/>
    <w:rsid w:val="00626250"/>
    <w:rsid w:val="00630118"/>
    <w:rsid w:val="006308AA"/>
    <w:rsid w:val="00634702"/>
    <w:rsid w:val="0063572F"/>
    <w:rsid w:val="00636F4B"/>
    <w:rsid w:val="00650D52"/>
    <w:rsid w:val="00651BFC"/>
    <w:rsid w:val="00654D3A"/>
    <w:rsid w:val="00655735"/>
    <w:rsid w:val="0066677F"/>
    <w:rsid w:val="00671CF3"/>
    <w:rsid w:val="00672732"/>
    <w:rsid w:val="006772E2"/>
    <w:rsid w:val="006773EA"/>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B3171"/>
    <w:rsid w:val="006B4529"/>
    <w:rsid w:val="006C285D"/>
    <w:rsid w:val="006C4351"/>
    <w:rsid w:val="006C563A"/>
    <w:rsid w:val="006C5E8E"/>
    <w:rsid w:val="006C7684"/>
    <w:rsid w:val="006D3772"/>
    <w:rsid w:val="006D40A4"/>
    <w:rsid w:val="006D46B0"/>
    <w:rsid w:val="006D5693"/>
    <w:rsid w:val="006D62EC"/>
    <w:rsid w:val="006D75AF"/>
    <w:rsid w:val="006D7B35"/>
    <w:rsid w:val="006E18C9"/>
    <w:rsid w:val="006E77BB"/>
    <w:rsid w:val="006F004F"/>
    <w:rsid w:val="006F65FC"/>
    <w:rsid w:val="00701C96"/>
    <w:rsid w:val="00716A63"/>
    <w:rsid w:val="00717053"/>
    <w:rsid w:val="00720732"/>
    <w:rsid w:val="00725275"/>
    <w:rsid w:val="00730780"/>
    <w:rsid w:val="00730F86"/>
    <w:rsid w:val="00734A15"/>
    <w:rsid w:val="0073516F"/>
    <w:rsid w:val="0073708D"/>
    <w:rsid w:val="007402DE"/>
    <w:rsid w:val="0074091B"/>
    <w:rsid w:val="0074305D"/>
    <w:rsid w:val="00744ADC"/>
    <w:rsid w:val="0075169C"/>
    <w:rsid w:val="007671BB"/>
    <w:rsid w:val="007779C2"/>
    <w:rsid w:val="007800AC"/>
    <w:rsid w:val="00790AA5"/>
    <w:rsid w:val="00791053"/>
    <w:rsid w:val="007939BB"/>
    <w:rsid w:val="0079717A"/>
    <w:rsid w:val="007A0976"/>
    <w:rsid w:val="007A21CB"/>
    <w:rsid w:val="007B6185"/>
    <w:rsid w:val="007B77E6"/>
    <w:rsid w:val="007C644A"/>
    <w:rsid w:val="007D1C36"/>
    <w:rsid w:val="007D2429"/>
    <w:rsid w:val="007D2EF6"/>
    <w:rsid w:val="007D569A"/>
    <w:rsid w:val="007D70F8"/>
    <w:rsid w:val="007E579D"/>
    <w:rsid w:val="007F1F38"/>
    <w:rsid w:val="007F3637"/>
    <w:rsid w:val="00801E2C"/>
    <w:rsid w:val="00806FAA"/>
    <w:rsid w:val="008078DE"/>
    <w:rsid w:val="00807EC3"/>
    <w:rsid w:val="00810C4D"/>
    <w:rsid w:val="0081140F"/>
    <w:rsid w:val="00813021"/>
    <w:rsid w:val="008238EC"/>
    <w:rsid w:val="00830E37"/>
    <w:rsid w:val="00832070"/>
    <w:rsid w:val="00832D74"/>
    <w:rsid w:val="008340AB"/>
    <w:rsid w:val="008450FB"/>
    <w:rsid w:val="00852F70"/>
    <w:rsid w:val="00854A3C"/>
    <w:rsid w:val="00861855"/>
    <w:rsid w:val="00870348"/>
    <w:rsid w:val="00873F5A"/>
    <w:rsid w:val="008745C0"/>
    <w:rsid w:val="00876876"/>
    <w:rsid w:val="00881158"/>
    <w:rsid w:val="0088313E"/>
    <w:rsid w:val="00883933"/>
    <w:rsid w:val="00883F2E"/>
    <w:rsid w:val="00884F22"/>
    <w:rsid w:val="0088710E"/>
    <w:rsid w:val="00891444"/>
    <w:rsid w:val="00893D61"/>
    <w:rsid w:val="00896934"/>
    <w:rsid w:val="00897F4C"/>
    <w:rsid w:val="008A091F"/>
    <w:rsid w:val="008A367F"/>
    <w:rsid w:val="008A49CD"/>
    <w:rsid w:val="008B14CF"/>
    <w:rsid w:val="008B6568"/>
    <w:rsid w:val="008B6576"/>
    <w:rsid w:val="008C3BF2"/>
    <w:rsid w:val="008C4D39"/>
    <w:rsid w:val="008D5913"/>
    <w:rsid w:val="008D7CDD"/>
    <w:rsid w:val="008E059E"/>
    <w:rsid w:val="008E1B6E"/>
    <w:rsid w:val="008E424A"/>
    <w:rsid w:val="008E4597"/>
    <w:rsid w:val="008E5279"/>
    <w:rsid w:val="008E5903"/>
    <w:rsid w:val="008F18AB"/>
    <w:rsid w:val="008F7AC8"/>
    <w:rsid w:val="00903088"/>
    <w:rsid w:val="00913965"/>
    <w:rsid w:val="00921A10"/>
    <w:rsid w:val="009346D1"/>
    <w:rsid w:val="00936929"/>
    <w:rsid w:val="009378BD"/>
    <w:rsid w:val="009407A6"/>
    <w:rsid w:val="009447E7"/>
    <w:rsid w:val="00946360"/>
    <w:rsid w:val="00947CFF"/>
    <w:rsid w:val="00951941"/>
    <w:rsid w:val="0095406C"/>
    <w:rsid w:val="00955ADD"/>
    <w:rsid w:val="00956BD3"/>
    <w:rsid w:val="00956C7E"/>
    <w:rsid w:val="0097271D"/>
    <w:rsid w:val="00975442"/>
    <w:rsid w:val="009768E1"/>
    <w:rsid w:val="009851A1"/>
    <w:rsid w:val="00985B83"/>
    <w:rsid w:val="00985C6A"/>
    <w:rsid w:val="00986F76"/>
    <w:rsid w:val="00990350"/>
    <w:rsid w:val="00990A19"/>
    <w:rsid w:val="009A0C97"/>
    <w:rsid w:val="009A2CFE"/>
    <w:rsid w:val="009A3A22"/>
    <w:rsid w:val="009B05CC"/>
    <w:rsid w:val="009B0B6B"/>
    <w:rsid w:val="009B69EC"/>
    <w:rsid w:val="009B755F"/>
    <w:rsid w:val="009C4A1B"/>
    <w:rsid w:val="009C72FB"/>
    <w:rsid w:val="009C7973"/>
    <w:rsid w:val="009D64B7"/>
    <w:rsid w:val="009E2DE1"/>
    <w:rsid w:val="009E5309"/>
    <w:rsid w:val="009F27D8"/>
    <w:rsid w:val="009F7672"/>
    <w:rsid w:val="00A004F1"/>
    <w:rsid w:val="00A00B4B"/>
    <w:rsid w:val="00A028B1"/>
    <w:rsid w:val="00A02E5C"/>
    <w:rsid w:val="00A05B10"/>
    <w:rsid w:val="00A11D50"/>
    <w:rsid w:val="00A12500"/>
    <w:rsid w:val="00A130F3"/>
    <w:rsid w:val="00A20409"/>
    <w:rsid w:val="00A21627"/>
    <w:rsid w:val="00A23161"/>
    <w:rsid w:val="00A23807"/>
    <w:rsid w:val="00A32D48"/>
    <w:rsid w:val="00A36298"/>
    <w:rsid w:val="00A45032"/>
    <w:rsid w:val="00A527F3"/>
    <w:rsid w:val="00A5351D"/>
    <w:rsid w:val="00A571FE"/>
    <w:rsid w:val="00A611A9"/>
    <w:rsid w:val="00A62823"/>
    <w:rsid w:val="00A657D6"/>
    <w:rsid w:val="00A67412"/>
    <w:rsid w:val="00A74FB5"/>
    <w:rsid w:val="00A75817"/>
    <w:rsid w:val="00A80C4E"/>
    <w:rsid w:val="00A90581"/>
    <w:rsid w:val="00A975A8"/>
    <w:rsid w:val="00AA6138"/>
    <w:rsid w:val="00AA773F"/>
    <w:rsid w:val="00AC319A"/>
    <w:rsid w:val="00AC3DBF"/>
    <w:rsid w:val="00AC5E81"/>
    <w:rsid w:val="00AD4EF0"/>
    <w:rsid w:val="00AE024B"/>
    <w:rsid w:val="00AE4088"/>
    <w:rsid w:val="00AE4963"/>
    <w:rsid w:val="00AE6314"/>
    <w:rsid w:val="00B003E6"/>
    <w:rsid w:val="00B00761"/>
    <w:rsid w:val="00B03C05"/>
    <w:rsid w:val="00B05CB6"/>
    <w:rsid w:val="00B1123A"/>
    <w:rsid w:val="00B11D08"/>
    <w:rsid w:val="00B1564D"/>
    <w:rsid w:val="00B159DA"/>
    <w:rsid w:val="00B2153D"/>
    <w:rsid w:val="00B26717"/>
    <w:rsid w:val="00B3066F"/>
    <w:rsid w:val="00B30E29"/>
    <w:rsid w:val="00B32C4C"/>
    <w:rsid w:val="00B37887"/>
    <w:rsid w:val="00B40AF4"/>
    <w:rsid w:val="00B43D2F"/>
    <w:rsid w:val="00B44460"/>
    <w:rsid w:val="00B444D6"/>
    <w:rsid w:val="00B4795C"/>
    <w:rsid w:val="00B47C42"/>
    <w:rsid w:val="00B548C9"/>
    <w:rsid w:val="00B60E2F"/>
    <w:rsid w:val="00B6138D"/>
    <w:rsid w:val="00B62267"/>
    <w:rsid w:val="00B63BE5"/>
    <w:rsid w:val="00B65759"/>
    <w:rsid w:val="00B65A8F"/>
    <w:rsid w:val="00B67B67"/>
    <w:rsid w:val="00B7764E"/>
    <w:rsid w:val="00B85B55"/>
    <w:rsid w:val="00B936EB"/>
    <w:rsid w:val="00B9670F"/>
    <w:rsid w:val="00B97AD7"/>
    <w:rsid w:val="00BB7005"/>
    <w:rsid w:val="00BC6500"/>
    <w:rsid w:val="00BC6AD0"/>
    <w:rsid w:val="00BC6C96"/>
    <w:rsid w:val="00BC75A0"/>
    <w:rsid w:val="00BD2523"/>
    <w:rsid w:val="00BD613A"/>
    <w:rsid w:val="00BE3A7B"/>
    <w:rsid w:val="00BE4817"/>
    <w:rsid w:val="00BE4CB6"/>
    <w:rsid w:val="00BF5578"/>
    <w:rsid w:val="00BF56D4"/>
    <w:rsid w:val="00BF616D"/>
    <w:rsid w:val="00BF6910"/>
    <w:rsid w:val="00C02588"/>
    <w:rsid w:val="00C0759E"/>
    <w:rsid w:val="00C12851"/>
    <w:rsid w:val="00C13185"/>
    <w:rsid w:val="00C160C6"/>
    <w:rsid w:val="00C17DDA"/>
    <w:rsid w:val="00C20686"/>
    <w:rsid w:val="00C206E6"/>
    <w:rsid w:val="00C245CA"/>
    <w:rsid w:val="00C27BBE"/>
    <w:rsid w:val="00C31BB7"/>
    <w:rsid w:val="00C343E0"/>
    <w:rsid w:val="00C36C39"/>
    <w:rsid w:val="00C44781"/>
    <w:rsid w:val="00C45DD4"/>
    <w:rsid w:val="00C506E7"/>
    <w:rsid w:val="00C510CC"/>
    <w:rsid w:val="00C52DA0"/>
    <w:rsid w:val="00C538EF"/>
    <w:rsid w:val="00C5504F"/>
    <w:rsid w:val="00C55E02"/>
    <w:rsid w:val="00C602D8"/>
    <w:rsid w:val="00C635EC"/>
    <w:rsid w:val="00C74028"/>
    <w:rsid w:val="00C75099"/>
    <w:rsid w:val="00C75238"/>
    <w:rsid w:val="00C773A9"/>
    <w:rsid w:val="00C81779"/>
    <w:rsid w:val="00C81C56"/>
    <w:rsid w:val="00C84651"/>
    <w:rsid w:val="00C9231A"/>
    <w:rsid w:val="00C92559"/>
    <w:rsid w:val="00C92A3F"/>
    <w:rsid w:val="00C92EE8"/>
    <w:rsid w:val="00C941BD"/>
    <w:rsid w:val="00C95FA1"/>
    <w:rsid w:val="00C97983"/>
    <w:rsid w:val="00CA005C"/>
    <w:rsid w:val="00CA0244"/>
    <w:rsid w:val="00CA7F56"/>
    <w:rsid w:val="00CB3504"/>
    <w:rsid w:val="00CB56C6"/>
    <w:rsid w:val="00CC20DD"/>
    <w:rsid w:val="00CC6DA8"/>
    <w:rsid w:val="00CC6DCF"/>
    <w:rsid w:val="00CD219B"/>
    <w:rsid w:val="00CD257D"/>
    <w:rsid w:val="00CD59BA"/>
    <w:rsid w:val="00CE0B72"/>
    <w:rsid w:val="00CE1CDF"/>
    <w:rsid w:val="00CE4FF3"/>
    <w:rsid w:val="00CE63A6"/>
    <w:rsid w:val="00CF0779"/>
    <w:rsid w:val="00CF6193"/>
    <w:rsid w:val="00D03244"/>
    <w:rsid w:val="00D06436"/>
    <w:rsid w:val="00D10AC5"/>
    <w:rsid w:val="00D11174"/>
    <w:rsid w:val="00D21C2A"/>
    <w:rsid w:val="00D22765"/>
    <w:rsid w:val="00D25495"/>
    <w:rsid w:val="00D3125B"/>
    <w:rsid w:val="00D33417"/>
    <w:rsid w:val="00D360B8"/>
    <w:rsid w:val="00D400E4"/>
    <w:rsid w:val="00D42BA7"/>
    <w:rsid w:val="00D4495A"/>
    <w:rsid w:val="00D458CC"/>
    <w:rsid w:val="00D500F4"/>
    <w:rsid w:val="00D60DF3"/>
    <w:rsid w:val="00D65E56"/>
    <w:rsid w:val="00D71718"/>
    <w:rsid w:val="00D73BC8"/>
    <w:rsid w:val="00D7657E"/>
    <w:rsid w:val="00D77380"/>
    <w:rsid w:val="00D81701"/>
    <w:rsid w:val="00D8389B"/>
    <w:rsid w:val="00D87838"/>
    <w:rsid w:val="00D90360"/>
    <w:rsid w:val="00D92759"/>
    <w:rsid w:val="00D92B96"/>
    <w:rsid w:val="00D97F70"/>
    <w:rsid w:val="00DA39A5"/>
    <w:rsid w:val="00DA7E65"/>
    <w:rsid w:val="00DB6D1F"/>
    <w:rsid w:val="00DC1B92"/>
    <w:rsid w:val="00DC2C5D"/>
    <w:rsid w:val="00DC59F1"/>
    <w:rsid w:val="00DC7308"/>
    <w:rsid w:val="00DC74FA"/>
    <w:rsid w:val="00DD0430"/>
    <w:rsid w:val="00DD1D8E"/>
    <w:rsid w:val="00DE1D95"/>
    <w:rsid w:val="00DE2130"/>
    <w:rsid w:val="00DE32E9"/>
    <w:rsid w:val="00DE3DE9"/>
    <w:rsid w:val="00DE5E1C"/>
    <w:rsid w:val="00DE6148"/>
    <w:rsid w:val="00DE7918"/>
    <w:rsid w:val="00DF207A"/>
    <w:rsid w:val="00DF48AA"/>
    <w:rsid w:val="00DF58EF"/>
    <w:rsid w:val="00DF6F07"/>
    <w:rsid w:val="00E00194"/>
    <w:rsid w:val="00E021AE"/>
    <w:rsid w:val="00E0559D"/>
    <w:rsid w:val="00E0675A"/>
    <w:rsid w:val="00E10848"/>
    <w:rsid w:val="00E1131B"/>
    <w:rsid w:val="00E1484C"/>
    <w:rsid w:val="00E1589E"/>
    <w:rsid w:val="00E22258"/>
    <w:rsid w:val="00E2584E"/>
    <w:rsid w:val="00E25BF8"/>
    <w:rsid w:val="00E3045E"/>
    <w:rsid w:val="00E307C4"/>
    <w:rsid w:val="00E33EDB"/>
    <w:rsid w:val="00E37AAA"/>
    <w:rsid w:val="00E40FF7"/>
    <w:rsid w:val="00E422B6"/>
    <w:rsid w:val="00E551C6"/>
    <w:rsid w:val="00E60171"/>
    <w:rsid w:val="00E64CB2"/>
    <w:rsid w:val="00E701DF"/>
    <w:rsid w:val="00E74568"/>
    <w:rsid w:val="00E74619"/>
    <w:rsid w:val="00E82443"/>
    <w:rsid w:val="00E851E9"/>
    <w:rsid w:val="00E86388"/>
    <w:rsid w:val="00E93BAC"/>
    <w:rsid w:val="00E952E9"/>
    <w:rsid w:val="00EB366B"/>
    <w:rsid w:val="00EB61F8"/>
    <w:rsid w:val="00EC0B94"/>
    <w:rsid w:val="00EC1BEE"/>
    <w:rsid w:val="00EC2C7F"/>
    <w:rsid w:val="00EC2CD1"/>
    <w:rsid w:val="00EC5741"/>
    <w:rsid w:val="00ED0315"/>
    <w:rsid w:val="00ED09A4"/>
    <w:rsid w:val="00ED39F8"/>
    <w:rsid w:val="00EE52AA"/>
    <w:rsid w:val="00EE6CA5"/>
    <w:rsid w:val="00EF09F6"/>
    <w:rsid w:val="00EF33A0"/>
    <w:rsid w:val="00EF59D5"/>
    <w:rsid w:val="00EF5C57"/>
    <w:rsid w:val="00F06988"/>
    <w:rsid w:val="00F10D1B"/>
    <w:rsid w:val="00F1119D"/>
    <w:rsid w:val="00F119EF"/>
    <w:rsid w:val="00F271B8"/>
    <w:rsid w:val="00F27E11"/>
    <w:rsid w:val="00F314B3"/>
    <w:rsid w:val="00F3578D"/>
    <w:rsid w:val="00F357AC"/>
    <w:rsid w:val="00F36D83"/>
    <w:rsid w:val="00F4575A"/>
    <w:rsid w:val="00F56FE7"/>
    <w:rsid w:val="00F62CB7"/>
    <w:rsid w:val="00F67C7B"/>
    <w:rsid w:val="00F75A2F"/>
    <w:rsid w:val="00F775FE"/>
    <w:rsid w:val="00F83A53"/>
    <w:rsid w:val="00F87213"/>
    <w:rsid w:val="00F93935"/>
    <w:rsid w:val="00F94DD5"/>
    <w:rsid w:val="00F97035"/>
    <w:rsid w:val="00FA2F14"/>
    <w:rsid w:val="00FA3203"/>
    <w:rsid w:val="00FA3D49"/>
    <w:rsid w:val="00FA5AFD"/>
    <w:rsid w:val="00FB28D7"/>
    <w:rsid w:val="00FB2AAE"/>
    <w:rsid w:val="00FB345B"/>
    <w:rsid w:val="00FC006C"/>
    <w:rsid w:val="00FC2C86"/>
    <w:rsid w:val="00FC41A9"/>
    <w:rsid w:val="00FC4535"/>
    <w:rsid w:val="00FD2606"/>
    <w:rsid w:val="00FE7E82"/>
    <w:rsid w:val="00FF0C78"/>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BE0D3"/>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styleId="Funotentext">
    <w:name w:val="footnote text"/>
    <w:basedOn w:val="Standard"/>
    <w:link w:val="FunotentextZchn"/>
    <w:uiPriority w:val="99"/>
    <w:semiHidden/>
    <w:unhideWhenUsed/>
    <w:rsid w:val="00F75A2F"/>
    <w:rPr>
      <w:sz w:val="20"/>
      <w:szCs w:val="20"/>
    </w:rPr>
  </w:style>
  <w:style w:type="character" w:customStyle="1" w:styleId="FunotentextZchn">
    <w:name w:val="Fußnotentext Zchn"/>
    <w:basedOn w:val="Absatz-Standardschriftart"/>
    <w:link w:val="Funotentext"/>
    <w:uiPriority w:val="99"/>
    <w:semiHidden/>
    <w:rsid w:val="00F75A2F"/>
    <w:rPr>
      <w:rFonts w:ascii="Arial" w:hAnsi="Arial" w:cs="Arial"/>
      <w:lang w:val="de-AT"/>
    </w:rPr>
  </w:style>
  <w:style w:type="character" w:styleId="Funotenzeichen">
    <w:name w:val="footnote reference"/>
    <w:basedOn w:val="Absatz-Standardschriftart"/>
    <w:uiPriority w:val="99"/>
    <w:semiHidden/>
    <w:unhideWhenUsed/>
    <w:rsid w:val="00F75A2F"/>
    <w:rPr>
      <w:vertAlign w:val="superscript"/>
    </w:rPr>
  </w:style>
  <w:style w:type="paragraph" w:customStyle="1" w:styleId="Default">
    <w:name w:val="Default"/>
    <w:rsid w:val="00442FC1"/>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E14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4144">
      <w:bodyDiv w:val="1"/>
      <w:marLeft w:val="0"/>
      <w:marRight w:val="0"/>
      <w:marTop w:val="0"/>
      <w:marBottom w:val="0"/>
      <w:divBdr>
        <w:top w:val="none" w:sz="0" w:space="0" w:color="auto"/>
        <w:left w:val="none" w:sz="0" w:space="0" w:color="auto"/>
        <w:bottom w:val="none" w:sz="0" w:space="0" w:color="auto"/>
        <w:right w:val="none" w:sz="0" w:space="0" w:color="auto"/>
      </w:divBdr>
    </w:div>
    <w:div w:id="470094908">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03479363">
      <w:bodyDiv w:val="1"/>
      <w:marLeft w:val="0"/>
      <w:marRight w:val="0"/>
      <w:marTop w:val="0"/>
      <w:marBottom w:val="0"/>
      <w:divBdr>
        <w:top w:val="none" w:sz="0" w:space="0" w:color="auto"/>
        <w:left w:val="none" w:sz="0" w:space="0" w:color="auto"/>
        <w:bottom w:val="none" w:sz="0" w:space="0" w:color="auto"/>
        <w:right w:val="none" w:sz="0" w:space="0" w:color="auto"/>
      </w:divBdr>
    </w:div>
    <w:div w:id="729695687">
      <w:bodyDiv w:val="1"/>
      <w:marLeft w:val="0"/>
      <w:marRight w:val="0"/>
      <w:marTop w:val="0"/>
      <w:marBottom w:val="0"/>
      <w:divBdr>
        <w:top w:val="none" w:sz="0" w:space="0" w:color="auto"/>
        <w:left w:val="none" w:sz="0" w:space="0" w:color="auto"/>
        <w:bottom w:val="none" w:sz="0" w:space="0" w:color="auto"/>
        <w:right w:val="none" w:sz="0" w:space="0" w:color="auto"/>
      </w:divBdr>
    </w:div>
    <w:div w:id="749080692">
      <w:bodyDiv w:val="1"/>
      <w:marLeft w:val="0"/>
      <w:marRight w:val="0"/>
      <w:marTop w:val="0"/>
      <w:marBottom w:val="0"/>
      <w:divBdr>
        <w:top w:val="none" w:sz="0" w:space="0" w:color="auto"/>
        <w:left w:val="none" w:sz="0" w:space="0" w:color="auto"/>
        <w:bottom w:val="none" w:sz="0" w:space="0" w:color="auto"/>
        <w:right w:val="none" w:sz="0" w:space="0" w:color="auto"/>
      </w:divBdr>
    </w:div>
    <w:div w:id="843738366">
      <w:bodyDiv w:val="1"/>
      <w:marLeft w:val="0"/>
      <w:marRight w:val="0"/>
      <w:marTop w:val="0"/>
      <w:marBottom w:val="0"/>
      <w:divBdr>
        <w:top w:val="none" w:sz="0" w:space="0" w:color="auto"/>
        <w:left w:val="none" w:sz="0" w:space="0" w:color="auto"/>
        <w:bottom w:val="none" w:sz="0" w:space="0" w:color="auto"/>
        <w:right w:val="none" w:sz="0" w:space="0" w:color="auto"/>
      </w:divBdr>
    </w:div>
    <w:div w:id="915632630">
      <w:bodyDiv w:val="1"/>
      <w:marLeft w:val="0"/>
      <w:marRight w:val="0"/>
      <w:marTop w:val="0"/>
      <w:marBottom w:val="0"/>
      <w:divBdr>
        <w:top w:val="none" w:sz="0" w:space="0" w:color="auto"/>
        <w:left w:val="none" w:sz="0" w:space="0" w:color="auto"/>
        <w:bottom w:val="none" w:sz="0" w:space="0" w:color="auto"/>
        <w:right w:val="none" w:sz="0" w:space="0" w:color="auto"/>
      </w:divBdr>
    </w:div>
    <w:div w:id="1193113761">
      <w:bodyDiv w:val="1"/>
      <w:marLeft w:val="0"/>
      <w:marRight w:val="0"/>
      <w:marTop w:val="0"/>
      <w:marBottom w:val="0"/>
      <w:divBdr>
        <w:top w:val="none" w:sz="0" w:space="0" w:color="auto"/>
        <w:left w:val="none" w:sz="0" w:space="0" w:color="auto"/>
        <w:bottom w:val="none" w:sz="0" w:space="0" w:color="auto"/>
        <w:right w:val="none" w:sz="0" w:space="0" w:color="auto"/>
      </w:divBdr>
    </w:div>
    <w:div w:id="1455949693">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44638307">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964070137">
      <w:bodyDiv w:val="1"/>
      <w:marLeft w:val="0"/>
      <w:marRight w:val="0"/>
      <w:marTop w:val="0"/>
      <w:marBottom w:val="0"/>
      <w:divBdr>
        <w:top w:val="none" w:sz="0" w:space="0" w:color="auto"/>
        <w:left w:val="none" w:sz="0" w:space="0" w:color="auto"/>
        <w:bottom w:val="none" w:sz="0" w:space="0" w:color="auto"/>
        <w:right w:val="none" w:sz="0" w:space="0" w:color="auto"/>
      </w:divBdr>
    </w:div>
    <w:div w:id="202559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CA60-8FF9-4373-841A-F07730E8B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2017</Words>
  <Characters>10904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vt:lpstr>
      <vt:lpstr>Überschrift</vt:lpstr>
    </vt:vector>
  </TitlesOfParts>
  <Company>TSG</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3</cp:revision>
  <cp:lastPrinted>2022-01-24T07:44:00Z</cp:lastPrinted>
  <dcterms:created xsi:type="dcterms:W3CDTF">2023-05-12T07:04:00Z</dcterms:created>
  <dcterms:modified xsi:type="dcterms:W3CDTF">2023-07-03T12:22:00Z</dcterms:modified>
</cp:coreProperties>
</file>