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FAEE" w14:textId="77777777" w:rsidR="00CD671D" w:rsidRDefault="00CD671D" w:rsidP="00CD671D">
      <w:pPr>
        <w:rPr>
          <w:b/>
          <w:bCs/>
          <w:sz w:val="36"/>
          <w:szCs w:val="36"/>
          <w:lang w:val="en-GB"/>
        </w:rPr>
      </w:pPr>
      <w:r w:rsidRPr="00CD671D">
        <w:rPr>
          <w:b/>
          <w:bCs/>
          <w:sz w:val="36"/>
          <w:szCs w:val="36"/>
          <w:lang w:val="en-GB"/>
        </w:rPr>
        <w:t>Tourism in the City of Salzburg in Figures 2025</w:t>
      </w:r>
    </w:p>
    <w:p w14:paraId="7B873C65" w14:textId="77777777" w:rsidR="00CD671D" w:rsidRPr="00CD671D" w:rsidRDefault="00CD671D" w:rsidP="00CD671D">
      <w:pPr>
        <w:rPr>
          <w:b/>
          <w:bCs/>
          <w:sz w:val="36"/>
          <w:szCs w:val="36"/>
          <w:lang w:val="en-GB"/>
        </w:rPr>
      </w:pPr>
    </w:p>
    <w:p w14:paraId="36483E40" w14:textId="77777777" w:rsidR="00CD671D" w:rsidRPr="00CD671D" w:rsidRDefault="00CD671D" w:rsidP="00CD671D">
      <w:pPr>
        <w:rPr>
          <w:b/>
          <w:bCs/>
          <w:lang w:val="en-GB"/>
        </w:rPr>
      </w:pPr>
      <w:r w:rsidRPr="00CD671D">
        <w:rPr>
          <w:b/>
          <w:bCs/>
          <w:lang w:val="en-GB"/>
        </w:rPr>
        <w:t>Salzburg Information</w:t>
      </w:r>
    </w:p>
    <w:p w14:paraId="0C88E329" w14:textId="77777777" w:rsidR="00CD671D" w:rsidRPr="00CD671D" w:rsidRDefault="00CD671D" w:rsidP="00CD671D">
      <w:pPr>
        <w:rPr>
          <w:lang w:val="en-GB"/>
        </w:rPr>
      </w:pPr>
      <w:r w:rsidRPr="00CD671D">
        <w:rPr>
          <w:lang w:val="en-GB"/>
        </w:rPr>
        <w:t xml:space="preserve">“Salzburg Information,” the city’s official tourism office, is responsible for global tourism marketing (advertising, sales promotion, information and production, press and public relations) and provides direct assistance and information to visitors at two information </w:t>
      </w:r>
      <w:proofErr w:type="spellStart"/>
      <w:r w:rsidRPr="00CD671D">
        <w:rPr>
          <w:lang w:val="en-GB"/>
        </w:rPr>
        <w:t>centers</w:t>
      </w:r>
      <w:proofErr w:type="spellEnd"/>
      <w:r w:rsidRPr="00CD671D">
        <w:rPr>
          <w:lang w:val="en-GB"/>
        </w:rPr>
        <w:t xml:space="preserve"> within the city.</w:t>
      </w:r>
    </w:p>
    <w:p w14:paraId="7A7F616D" w14:textId="77777777" w:rsidR="00CD671D" w:rsidRPr="00CD671D" w:rsidRDefault="00CD671D" w:rsidP="00CD671D">
      <w:pPr>
        <w:rPr>
          <w:lang w:val="en-GB"/>
        </w:rPr>
      </w:pPr>
      <w:r w:rsidRPr="00CD671D">
        <w:rPr>
          <w:lang w:val="en-GB"/>
        </w:rPr>
        <w:t xml:space="preserve">Comprehensive services are also available online at </w:t>
      </w:r>
      <w:hyperlink r:id="rId8" w:tgtFrame="_new" w:history="1">
        <w:r w:rsidRPr="00CD671D">
          <w:rPr>
            <w:rStyle w:val="Hyperlink"/>
            <w:rFonts w:cs="Arial"/>
            <w:lang w:val="en-GB"/>
          </w:rPr>
          <w:t>www.salzburg.info</w:t>
        </w:r>
      </w:hyperlink>
      <w:r w:rsidRPr="00CD671D">
        <w:rPr>
          <w:lang w:val="en-GB"/>
        </w:rPr>
        <w:t>, including hotel reservations, information on cultural events, links to all tourism service providers, social media, weather forecasts, webcams, photos, films, and much more.</w:t>
      </w:r>
    </w:p>
    <w:p w14:paraId="03C98205" w14:textId="77777777" w:rsidR="00CD671D" w:rsidRPr="00CD671D" w:rsidRDefault="00CD671D" w:rsidP="00CD671D">
      <w:pPr>
        <w:rPr>
          <w:lang w:val="en-GB"/>
        </w:rPr>
      </w:pPr>
    </w:p>
    <w:p w14:paraId="648DB130" w14:textId="77777777" w:rsidR="00CD671D" w:rsidRPr="00CD671D" w:rsidRDefault="00CD671D" w:rsidP="00CD671D">
      <w:pPr>
        <w:rPr>
          <w:b/>
          <w:bCs/>
          <w:lang w:val="en-GB"/>
        </w:rPr>
      </w:pPr>
      <w:r w:rsidRPr="00CD671D">
        <w:rPr>
          <w:b/>
          <w:bCs/>
          <w:lang w:val="en-GB"/>
        </w:rPr>
        <w:t>The City of Salzburg</w:t>
      </w:r>
    </w:p>
    <w:p w14:paraId="2AD36132" w14:textId="77777777" w:rsidR="00CD671D" w:rsidRPr="00CD671D" w:rsidRDefault="00CD671D" w:rsidP="00CD671D">
      <w:pPr>
        <w:rPr>
          <w:lang w:val="en-GB"/>
        </w:rPr>
      </w:pPr>
      <w:r w:rsidRPr="00CD671D">
        <w:rPr>
          <w:lang w:val="en-GB"/>
        </w:rPr>
        <w:t>The city of Salzburg is the capital of the Austrian federal province of the same name and has 158,803 inhabitants (as of January 1, 2026). Alongside Vienna, Salzburg is Austria’s most important urban tourism destination and has been a UNESCO World Heritage Site since 1996.</w:t>
      </w:r>
    </w:p>
    <w:p w14:paraId="0A447E14" w14:textId="77777777" w:rsidR="00CD671D" w:rsidRPr="00CD671D" w:rsidRDefault="00CD671D" w:rsidP="00CD671D">
      <w:pPr>
        <w:rPr>
          <w:lang w:val="en-GB"/>
        </w:rPr>
      </w:pPr>
      <w:r w:rsidRPr="00CD671D">
        <w:rPr>
          <w:lang w:val="en-GB"/>
        </w:rPr>
        <w:t xml:space="preserve">Each year, around 4,500 cultural events take place, including artistic highlights such as Mozart Week, the Easter Festival, the Salzburg Whitsun Festival, the Salzburg Festival in summer, the </w:t>
      </w:r>
      <w:proofErr w:type="spellStart"/>
      <w:r w:rsidRPr="00CD671D">
        <w:rPr>
          <w:lang w:val="en-GB"/>
        </w:rPr>
        <w:t>Rupertikirtag</w:t>
      </w:r>
      <w:proofErr w:type="spellEnd"/>
      <w:r w:rsidRPr="00CD671D">
        <w:rPr>
          <w:lang w:val="en-GB"/>
        </w:rPr>
        <w:t>, Jazz &amp; The City in autumn, and various Advent events such as the Salzburg Advent Singing at the Grand Festival Hall.</w:t>
      </w:r>
    </w:p>
    <w:p w14:paraId="00A5809D" w14:textId="77777777" w:rsidR="00CD671D" w:rsidRPr="00CD671D" w:rsidRDefault="00CD671D" w:rsidP="00CD671D">
      <w:pPr>
        <w:rPr>
          <w:lang w:val="en-GB"/>
        </w:rPr>
      </w:pPr>
    </w:p>
    <w:p w14:paraId="6843B51D" w14:textId="77777777" w:rsidR="00CD671D" w:rsidRPr="00CD671D" w:rsidRDefault="00CD671D" w:rsidP="00CD671D">
      <w:pPr>
        <w:rPr>
          <w:b/>
          <w:bCs/>
          <w:lang w:val="en-GB"/>
        </w:rPr>
      </w:pPr>
      <w:r w:rsidRPr="00CD671D">
        <w:rPr>
          <w:b/>
          <w:bCs/>
          <w:lang w:val="en-GB"/>
        </w:rPr>
        <w:t>Events – Visitors and Capacity Utilization 2025</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927"/>
        <w:gridCol w:w="1173"/>
        <w:gridCol w:w="1003"/>
      </w:tblGrid>
      <w:tr w:rsidR="00CD671D" w:rsidRPr="00CD671D" w14:paraId="6462FF59" w14:textId="77777777" w:rsidTr="00975BD0">
        <w:trPr>
          <w:tblHeader/>
          <w:tblCellSpacing w:w="15" w:type="dxa"/>
        </w:trPr>
        <w:tc>
          <w:tcPr>
            <w:tcW w:w="0" w:type="auto"/>
            <w:vAlign w:val="center"/>
            <w:hideMark/>
          </w:tcPr>
          <w:p w14:paraId="08880E94" w14:textId="77777777" w:rsidR="00CD671D" w:rsidRPr="00CD671D" w:rsidRDefault="00CD671D" w:rsidP="00CD0ABE">
            <w:pPr>
              <w:rPr>
                <w:b/>
                <w:bCs/>
              </w:rPr>
            </w:pPr>
            <w:r w:rsidRPr="00CD671D">
              <w:rPr>
                <w:b/>
                <w:bCs/>
              </w:rPr>
              <w:t>Event</w:t>
            </w:r>
          </w:p>
        </w:tc>
        <w:tc>
          <w:tcPr>
            <w:tcW w:w="0" w:type="auto"/>
            <w:vAlign w:val="center"/>
            <w:hideMark/>
          </w:tcPr>
          <w:p w14:paraId="66A3F810" w14:textId="77777777" w:rsidR="00CD671D" w:rsidRPr="00CD671D" w:rsidRDefault="00CD671D" w:rsidP="00CD0ABE">
            <w:pPr>
              <w:rPr>
                <w:b/>
                <w:bCs/>
              </w:rPr>
            </w:pPr>
            <w:r w:rsidRPr="00CD671D">
              <w:rPr>
                <w:b/>
                <w:bCs/>
              </w:rPr>
              <w:t>Visitors</w:t>
            </w:r>
          </w:p>
        </w:tc>
        <w:tc>
          <w:tcPr>
            <w:tcW w:w="0" w:type="auto"/>
            <w:vAlign w:val="center"/>
            <w:hideMark/>
          </w:tcPr>
          <w:p w14:paraId="3B7075C6" w14:textId="77777777" w:rsidR="00CD671D" w:rsidRPr="00CD671D" w:rsidRDefault="00CD671D" w:rsidP="00CD0ABE">
            <w:pPr>
              <w:rPr>
                <w:b/>
                <w:bCs/>
              </w:rPr>
            </w:pPr>
            <w:proofErr w:type="spellStart"/>
            <w:r w:rsidRPr="00CD671D">
              <w:rPr>
                <w:b/>
                <w:bCs/>
              </w:rPr>
              <w:t>Capacity</w:t>
            </w:r>
            <w:proofErr w:type="spellEnd"/>
          </w:p>
        </w:tc>
      </w:tr>
      <w:tr w:rsidR="00CD671D" w:rsidRPr="00CD671D" w14:paraId="0FD2CF01" w14:textId="77777777" w:rsidTr="00975BD0">
        <w:trPr>
          <w:tblCellSpacing w:w="15" w:type="dxa"/>
        </w:trPr>
        <w:tc>
          <w:tcPr>
            <w:tcW w:w="0" w:type="auto"/>
            <w:vAlign w:val="center"/>
            <w:hideMark/>
          </w:tcPr>
          <w:p w14:paraId="44EAF20B" w14:textId="77777777" w:rsidR="00CD671D" w:rsidRPr="00CD671D" w:rsidRDefault="00CD671D" w:rsidP="00CD0ABE">
            <w:r w:rsidRPr="00CD671D">
              <w:t>Mozart Week</w:t>
            </w:r>
          </w:p>
        </w:tc>
        <w:tc>
          <w:tcPr>
            <w:tcW w:w="0" w:type="auto"/>
            <w:vAlign w:val="center"/>
            <w:hideMark/>
          </w:tcPr>
          <w:p w14:paraId="04545B61" w14:textId="77777777" w:rsidR="00CD671D" w:rsidRPr="00CD671D" w:rsidRDefault="00CD671D" w:rsidP="00CD0ABE">
            <w:r w:rsidRPr="00CD671D">
              <w:t>28,000</w:t>
            </w:r>
          </w:p>
        </w:tc>
        <w:tc>
          <w:tcPr>
            <w:tcW w:w="0" w:type="auto"/>
            <w:vAlign w:val="center"/>
            <w:hideMark/>
          </w:tcPr>
          <w:p w14:paraId="33424160" w14:textId="77777777" w:rsidR="00CD671D" w:rsidRPr="00CD671D" w:rsidRDefault="00CD671D" w:rsidP="00CD0ABE">
            <w:r w:rsidRPr="00CD671D">
              <w:t>90%</w:t>
            </w:r>
          </w:p>
        </w:tc>
      </w:tr>
      <w:tr w:rsidR="00CD671D" w:rsidRPr="00CD671D" w14:paraId="67986055" w14:textId="77777777" w:rsidTr="00975BD0">
        <w:trPr>
          <w:tblCellSpacing w:w="15" w:type="dxa"/>
        </w:trPr>
        <w:tc>
          <w:tcPr>
            <w:tcW w:w="0" w:type="auto"/>
            <w:vAlign w:val="center"/>
            <w:hideMark/>
          </w:tcPr>
          <w:p w14:paraId="255C05A6" w14:textId="77777777" w:rsidR="00CD671D" w:rsidRPr="00CD671D" w:rsidRDefault="00CD671D" w:rsidP="00CD0ABE">
            <w:r w:rsidRPr="00CD671D">
              <w:t>Easter Festival</w:t>
            </w:r>
          </w:p>
        </w:tc>
        <w:tc>
          <w:tcPr>
            <w:tcW w:w="0" w:type="auto"/>
            <w:vAlign w:val="center"/>
            <w:hideMark/>
          </w:tcPr>
          <w:p w14:paraId="56517231" w14:textId="77777777" w:rsidR="00CD671D" w:rsidRPr="00CD671D" w:rsidRDefault="00CD671D" w:rsidP="00CD0ABE">
            <w:r w:rsidRPr="00CD671D">
              <w:t>n/a</w:t>
            </w:r>
          </w:p>
        </w:tc>
        <w:tc>
          <w:tcPr>
            <w:tcW w:w="0" w:type="auto"/>
            <w:vAlign w:val="center"/>
            <w:hideMark/>
          </w:tcPr>
          <w:p w14:paraId="0D96A72F" w14:textId="77777777" w:rsidR="00CD671D" w:rsidRPr="00CD671D" w:rsidRDefault="00CD671D" w:rsidP="00CD0ABE">
            <w:r w:rsidRPr="00CD671D">
              <w:t>93%</w:t>
            </w:r>
          </w:p>
        </w:tc>
      </w:tr>
      <w:tr w:rsidR="00CD671D" w:rsidRPr="00CD671D" w14:paraId="0712BB6E" w14:textId="77777777" w:rsidTr="00975BD0">
        <w:trPr>
          <w:tblCellSpacing w:w="15" w:type="dxa"/>
        </w:trPr>
        <w:tc>
          <w:tcPr>
            <w:tcW w:w="0" w:type="auto"/>
            <w:vAlign w:val="center"/>
            <w:hideMark/>
          </w:tcPr>
          <w:p w14:paraId="5BB487CD" w14:textId="77777777" w:rsidR="00CD671D" w:rsidRPr="00CD671D" w:rsidRDefault="00CD671D" w:rsidP="00CD0ABE">
            <w:r w:rsidRPr="00CD671D">
              <w:t xml:space="preserve">Salzburg </w:t>
            </w:r>
            <w:proofErr w:type="spellStart"/>
            <w:r w:rsidRPr="00CD671D">
              <w:t>Whitsun</w:t>
            </w:r>
            <w:proofErr w:type="spellEnd"/>
            <w:r w:rsidRPr="00CD671D">
              <w:t xml:space="preserve"> Festival</w:t>
            </w:r>
          </w:p>
        </w:tc>
        <w:tc>
          <w:tcPr>
            <w:tcW w:w="0" w:type="auto"/>
            <w:vAlign w:val="center"/>
            <w:hideMark/>
          </w:tcPr>
          <w:p w14:paraId="37CAA508" w14:textId="77777777" w:rsidR="00CD671D" w:rsidRPr="00CD671D" w:rsidRDefault="00CD671D" w:rsidP="00CD0ABE">
            <w:r w:rsidRPr="00CD671D">
              <w:t>11,720</w:t>
            </w:r>
          </w:p>
        </w:tc>
        <w:tc>
          <w:tcPr>
            <w:tcW w:w="0" w:type="auto"/>
            <w:vAlign w:val="center"/>
            <w:hideMark/>
          </w:tcPr>
          <w:p w14:paraId="7429EA69" w14:textId="77777777" w:rsidR="00CD671D" w:rsidRPr="00CD671D" w:rsidRDefault="00CD671D" w:rsidP="00CD0ABE">
            <w:r w:rsidRPr="00CD671D">
              <w:t>99%</w:t>
            </w:r>
          </w:p>
        </w:tc>
      </w:tr>
      <w:tr w:rsidR="00CD671D" w:rsidRPr="00CD671D" w14:paraId="3E5C74B5" w14:textId="77777777" w:rsidTr="00975BD0">
        <w:trPr>
          <w:tblCellSpacing w:w="15" w:type="dxa"/>
        </w:trPr>
        <w:tc>
          <w:tcPr>
            <w:tcW w:w="0" w:type="auto"/>
            <w:vAlign w:val="center"/>
            <w:hideMark/>
          </w:tcPr>
          <w:p w14:paraId="74AD130B" w14:textId="77777777" w:rsidR="00CD671D" w:rsidRPr="00CD671D" w:rsidRDefault="00CD671D" w:rsidP="00CD0ABE">
            <w:r w:rsidRPr="00CD671D">
              <w:t>Salzburg Festival</w:t>
            </w:r>
          </w:p>
        </w:tc>
        <w:tc>
          <w:tcPr>
            <w:tcW w:w="0" w:type="auto"/>
            <w:vAlign w:val="center"/>
            <w:hideMark/>
          </w:tcPr>
          <w:p w14:paraId="2EC09405" w14:textId="77777777" w:rsidR="00CD671D" w:rsidRPr="00CD671D" w:rsidRDefault="00CD671D" w:rsidP="00CD0ABE">
            <w:r w:rsidRPr="00CD671D">
              <w:t>256,600</w:t>
            </w:r>
          </w:p>
        </w:tc>
        <w:tc>
          <w:tcPr>
            <w:tcW w:w="0" w:type="auto"/>
            <w:vAlign w:val="center"/>
            <w:hideMark/>
          </w:tcPr>
          <w:p w14:paraId="2CFB4395" w14:textId="77777777" w:rsidR="00CD671D" w:rsidRPr="00CD671D" w:rsidRDefault="00CD671D" w:rsidP="00CD0ABE">
            <w:r w:rsidRPr="00CD671D">
              <w:t>98.4%</w:t>
            </w:r>
          </w:p>
        </w:tc>
      </w:tr>
      <w:tr w:rsidR="00CD671D" w:rsidRPr="00CD671D" w14:paraId="00061619" w14:textId="77777777" w:rsidTr="00975BD0">
        <w:trPr>
          <w:tblCellSpacing w:w="15" w:type="dxa"/>
        </w:trPr>
        <w:tc>
          <w:tcPr>
            <w:tcW w:w="0" w:type="auto"/>
            <w:vAlign w:val="center"/>
            <w:hideMark/>
          </w:tcPr>
          <w:p w14:paraId="7BF62BD3" w14:textId="77777777" w:rsidR="00CD671D" w:rsidRPr="00CD671D" w:rsidRDefault="00CD671D" w:rsidP="00CD0ABE">
            <w:r w:rsidRPr="00CD671D">
              <w:t>Siemens Festival Nights</w:t>
            </w:r>
          </w:p>
        </w:tc>
        <w:tc>
          <w:tcPr>
            <w:tcW w:w="0" w:type="auto"/>
            <w:vAlign w:val="center"/>
            <w:hideMark/>
          </w:tcPr>
          <w:p w14:paraId="2DFC4952" w14:textId="77777777" w:rsidR="00CD671D" w:rsidRPr="00CD671D" w:rsidRDefault="00CD671D" w:rsidP="00CD0ABE">
            <w:r w:rsidRPr="00CD671D">
              <w:t>50,000</w:t>
            </w:r>
          </w:p>
        </w:tc>
        <w:tc>
          <w:tcPr>
            <w:tcW w:w="0" w:type="auto"/>
            <w:vAlign w:val="center"/>
            <w:hideMark/>
          </w:tcPr>
          <w:p w14:paraId="42959872" w14:textId="77777777" w:rsidR="00CD671D" w:rsidRPr="00CD671D" w:rsidRDefault="00CD671D" w:rsidP="00CD0ABE">
            <w:r w:rsidRPr="00CD671D">
              <w:t>n/a</w:t>
            </w:r>
          </w:p>
        </w:tc>
      </w:tr>
      <w:tr w:rsidR="00CD671D" w:rsidRPr="00CD671D" w14:paraId="53F0BAAD" w14:textId="77777777" w:rsidTr="00975BD0">
        <w:trPr>
          <w:tblCellSpacing w:w="15" w:type="dxa"/>
        </w:trPr>
        <w:tc>
          <w:tcPr>
            <w:tcW w:w="0" w:type="auto"/>
            <w:vAlign w:val="center"/>
            <w:hideMark/>
          </w:tcPr>
          <w:p w14:paraId="048A77E8" w14:textId="77777777" w:rsidR="00CD671D" w:rsidRPr="00CD671D" w:rsidRDefault="00CD671D" w:rsidP="00CD0ABE">
            <w:proofErr w:type="spellStart"/>
            <w:r w:rsidRPr="00CD671D">
              <w:t>Rupertikirtag</w:t>
            </w:r>
            <w:proofErr w:type="spellEnd"/>
          </w:p>
        </w:tc>
        <w:tc>
          <w:tcPr>
            <w:tcW w:w="0" w:type="auto"/>
            <w:vAlign w:val="center"/>
            <w:hideMark/>
          </w:tcPr>
          <w:p w14:paraId="4F26A2F3" w14:textId="77777777" w:rsidR="00CD671D" w:rsidRPr="00CD671D" w:rsidRDefault="00CD671D" w:rsidP="00CD0ABE">
            <w:r w:rsidRPr="00CD671D">
              <w:t>200,000</w:t>
            </w:r>
          </w:p>
        </w:tc>
        <w:tc>
          <w:tcPr>
            <w:tcW w:w="0" w:type="auto"/>
            <w:vAlign w:val="center"/>
            <w:hideMark/>
          </w:tcPr>
          <w:p w14:paraId="18461718" w14:textId="77777777" w:rsidR="00CD671D" w:rsidRPr="00CD671D" w:rsidRDefault="00CD671D" w:rsidP="00CD0ABE">
            <w:r w:rsidRPr="00CD671D">
              <w:t>n/a</w:t>
            </w:r>
          </w:p>
        </w:tc>
      </w:tr>
      <w:tr w:rsidR="00CD671D" w:rsidRPr="00CD671D" w14:paraId="65ACA874" w14:textId="77777777" w:rsidTr="00975BD0">
        <w:trPr>
          <w:tblCellSpacing w:w="15" w:type="dxa"/>
        </w:trPr>
        <w:tc>
          <w:tcPr>
            <w:tcW w:w="0" w:type="auto"/>
            <w:vAlign w:val="center"/>
            <w:hideMark/>
          </w:tcPr>
          <w:p w14:paraId="55365936" w14:textId="77777777" w:rsidR="00CD671D" w:rsidRPr="00CD671D" w:rsidRDefault="00CD671D" w:rsidP="00CD0ABE">
            <w:r w:rsidRPr="00CD671D">
              <w:t>Jazz &amp; The City</w:t>
            </w:r>
          </w:p>
        </w:tc>
        <w:tc>
          <w:tcPr>
            <w:tcW w:w="0" w:type="auto"/>
            <w:vAlign w:val="center"/>
            <w:hideMark/>
          </w:tcPr>
          <w:p w14:paraId="210948B5" w14:textId="77777777" w:rsidR="00CD671D" w:rsidRPr="00CD671D" w:rsidRDefault="00CD671D" w:rsidP="00CD0ABE">
            <w:r w:rsidRPr="00CD671D">
              <w:t>25,000</w:t>
            </w:r>
          </w:p>
        </w:tc>
        <w:tc>
          <w:tcPr>
            <w:tcW w:w="0" w:type="auto"/>
            <w:vAlign w:val="center"/>
            <w:hideMark/>
          </w:tcPr>
          <w:p w14:paraId="7C37044B" w14:textId="77777777" w:rsidR="00CD671D" w:rsidRPr="00CD671D" w:rsidRDefault="00CD671D" w:rsidP="00CD0ABE">
            <w:r w:rsidRPr="00CD671D">
              <w:t>n/a</w:t>
            </w:r>
          </w:p>
        </w:tc>
      </w:tr>
      <w:tr w:rsidR="00CD671D" w:rsidRPr="00CD671D" w14:paraId="357DCE82" w14:textId="77777777" w:rsidTr="00975BD0">
        <w:trPr>
          <w:tblCellSpacing w:w="15" w:type="dxa"/>
        </w:trPr>
        <w:tc>
          <w:tcPr>
            <w:tcW w:w="0" w:type="auto"/>
            <w:vAlign w:val="center"/>
            <w:hideMark/>
          </w:tcPr>
          <w:p w14:paraId="2BC76A0B" w14:textId="77777777" w:rsidR="00CD671D" w:rsidRPr="00CD671D" w:rsidRDefault="00CD671D" w:rsidP="00CD0ABE">
            <w:pPr>
              <w:rPr>
                <w:lang w:val="en-GB"/>
              </w:rPr>
            </w:pPr>
            <w:r w:rsidRPr="00CD671D">
              <w:rPr>
                <w:lang w:val="en-GB"/>
              </w:rPr>
              <w:t>Salzburg Advent Singing (Grand Festival Hall)</w:t>
            </w:r>
          </w:p>
        </w:tc>
        <w:tc>
          <w:tcPr>
            <w:tcW w:w="0" w:type="auto"/>
            <w:vAlign w:val="center"/>
            <w:hideMark/>
          </w:tcPr>
          <w:p w14:paraId="1C3C0429" w14:textId="77777777" w:rsidR="00CD671D" w:rsidRPr="00CD671D" w:rsidRDefault="00CD671D" w:rsidP="00CD0ABE">
            <w:r w:rsidRPr="00CD671D">
              <w:t>32,000</w:t>
            </w:r>
          </w:p>
        </w:tc>
        <w:tc>
          <w:tcPr>
            <w:tcW w:w="0" w:type="auto"/>
            <w:vAlign w:val="center"/>
            <w:hideMark/>
          </w:tcPr>
          <w:p w14:paraId="45785C68" w14:textId="77777777" w:rsidR="00CD671D" w:rsidRPr="00CD671D" w:rsidRDefault="00CD671D" w:rsidP="00CD0ABE">
            <w:r w:rsidRPr="00CD671D">
              <w:t>n/a</w:t>
            </w:r>
          </w:p>
        </w:tc>
      </w:tr>
      <w:tr w:rsidR="00CD671D" w:rsidRPr="00CD671D" w14:paraId="12DE5AEF" w14:textId="77777777" w:rsidTr="00975BD0">
        <w:trPr>
          <w:tblCellSpacing w:w="15" w:type="dxa"/>
        </w:trPr>
        <w:tc>
          <w:tcPr>
            <w:tcW w:w="0" w:type="auto"/>
            <w:vAlign w:val="center"/>
            <w:hideMark/>
          </w:tcPr>
          <w:p w14:paraId="36682B11" w14:textId="77777777" w:rsidR="00CD671D" w:rsidRPr="00CD671D" w:rsidRDefault="00CD671D" w:rsidP="00CD0ABE">
            <w:pPr>
              <w:rPr>
                <w:lang w:val="en-GB"/>
              </w:rPr>
            </w:pPr>
            <w:r w:rsidRPr="00CD671D">
              <w:rPr>
                <w:lang w:val="en-GB"/>
              </w:rPr>
              <w:t>Christmas Market (Cathedral &amp; Residenz Square)</w:t>
            </w:r>
          </w:p>
        </w:tc>
        <w:tc>
          <w:tcPr>
            <w:tcW w:w="0" w:type="auto"/>
            <w:vAlign w:val="center"/>
            <w:hideMark/>
          </w:tcPr>
          <w:p w14:paraId="5548FCD9" w14:textId="77777777" w:rsidR="00CD671D" w:rsidRPr="00CD671D" w:rsidRDefault="00CD671D" w:rsidP="00CD0ABE">
            <w:r w:rsidRPr="00CD671D">
              <w:t xml:space="preserve">1.86 </w:t>
            </w:r>
            <w:proofErr w:type="spellStart"/>
            <w:r w:rsidRPr="00CD671D">
              <w:t>million</w:t>
            </w:r>
            <w:proofErr w:type="spellEnd"/>
          </w:p>
        </w:tc>
        <w:tc>
          <w:tcPr>
            <w:tcW w:w="0" w:type="auto"/>
            <w:vAlign w:val="center"/>
            <w:hideMark/>
          </w:tcPr>
          <w:p w14:paraId="6C18EA38" w14:textId="77777777" w:rsidR="00CD671D" w:rsidRPr="00CD671D" w:rsidRDefault="00CD671D" w:rsidP="00CD0ABE">
            <w:r w:rsidRPr="00CD671D">
              <w:t>n/a</w:t>
            </w:r>
          </w:p>
        </w:tc>
      </w:tr>
      <w:tr w:rsidR="00CD671D" w:rsidRPr="00CD671D" w14:paraId="374BB48B" w14:textId="77777777" w:rsidTr="00975BD0">
        <w:trPr>
          <w:tblCellSpacing w:w="15" w:type="dxa"/>
        </w:trPr>
        <w:tc>
          <w:tcPr>
            <w:tcW w:w="0" w:type="auto"/>
            <w:vAlign w:val="center"/>
            <w:hideMark/>
          </w:tcPr>
          <w:p w14:paraId="77534E93" w14:textId="77777777" w:rsidR="00CD671D" w:rsidRPr="00CD671D" w:rsidRDefault="00CD671D" w:rsidP="00CD0ABE">
            <w:r w:rsidRPr="00CD671D">
              <w:t>Winterfest</w:t>
            </w:r>
          </w:p>
        </w:tc>
        <w:tc>
          <w:tcPr>
            <w:tcW w:w="0" w:type="auto"/>
            <w:vAlign w:val="center"/>
            <w:hideMark/>
          </w:tcPr>
          <w:p w14:paraId="51FA4FBE" w14:textId="77777777" w:rsidR="00CD671D" w:rsidRPr="00CD671D" w:rsidRDefault="00CD671D" w:rsidP="00CD0ABE">
            <w:r w:rsidRPr="00CD671D">
              <w:t>31,850</w:t>
            </w:r>
          </w:p>
        </w:tc>
        <w:tc>
          <w:tcPr>
            <w:tcW w:w="0" w:type="auto"/>
            <w:vAlign w:val="center"/>
            <w:hideMark/>
          </w:tcPr>
          <w:p w14:paraId="0AD20D0F" w14:textId="77777777" w:rsidR="00CD671D" w:rsidRPr="00CD671D" w:rsidRDefault="00CD671D" w:rsidP="00CD0ABE">
            <w:r w:rsidRPr="00CD671D">
              <w:t>94%</w:t>
            </w:r>
          </w:p>
        </w:tc>
      </w:tr>
    </w:tbl>
    <w:p w14:paraId="6E5A05E5" w14:textId="77777777" w:rsidR="00CD671D" w:rsidRPr="00CD671D" w:rsidRDefault="00CD671D" w:rsidP="00CD671D"/>
    <w:p w14:paraId="0EA11463" w14:textId="77777777" w:rsidR="00CD671D" w:rsidRPr="00CD671D" w:rsidRDefault="00CD671D" w:rsidP="00CD671D">
      <w:pPr>
        <w:rPr>
          <w:b/>
          <w:bCs/>
          <w:lang w:val="en-GB"/>
        </w:rPr>
      </w:pPr>
      <w:r w:rsidRPr="00CD671D">
        <w:rPr>
          <w:b/>
          <w:bCs/>
          <w:lang w:val="en-GB"/>
        </w:rPr>
        <w:t>Unique Selling Points and International Recognition</w:t>
      </w:r>
    </w:p>
    <w:p w14:paraId="5497C68C" w14:textId="77777777" w:rsidR="00CD671D" w:rsidRPr="00CD671D" w:rsidRDefault="00CD671D" w:rsidP="00CD671D">
      <w:pPr>
        <w:rPr>
          <w:lang w:val="en-GB"/>
        </w:rPr>
      </w:pPr>
      <w:r w:rsidRPr="00CD671D">
        <w:rPr>
          <w:lang w:val="en-GB"/>
        </w:rPr>
        <w:t xml:space="preserve">Salzburg’s unique selling points include Mozart, </w:t>
      </w:r>
      <w:r w:rsidRPr="00CD671D">
        <w:rPr>
          <w:i/>
          <w:iCs/>
          <w:lang w:val="en-GB"/>
        </w:rPr>
        <w:t>The Sound of Music</w:t>
      </w:r>
      <w:r w:rsidRPr="00CD671D">
        <w:rPr>
          <w:lang w:val="en-GB"/>
        </w:rPr>
        <w:t>, the Advent season including “Silent Night! Holy Night!”, the Salzburg Festival, and its UNESCO-listed Baroque old town.</w:t>
      </w:r>
    </w:p>
    <w:p w14:paraId="5DA8C59E" w14:textId="77777777" w:rsidR="00CD671D" w:rsidRPr="00CD671D" w:rsidRDefault="00CD671D" w:rsidP="00CD671D">
      <w:pPr>
        <w:rPr>
          <w:lang w:val="en-GB"/>
        </w:rPr>
      </w:pPr>
      <w:r w:rsidRPr="00CD671D">
        <w:rPr>
          <w:lang w:val="en-GB"/>
        </w:rPr>
        <w:t xml:space="preserve">Numerous international awards underline the global appeal of the Salzburg brand. For example, the Salzburg Christmas Market at Cathedral and Residenz Square ranked second among Europe’s most beautiful Christmas markets in a ranking by the British daily </w:t>
      </w:r>
      <w:r w:rsidRPr="00CD671D">
        <w:rPr>
          <w:lang w:val="en-GB"/>
        </w:rPr>
        <w:lastRenderedPageBreak/>
        <w:t xml:space="preserve">newspaper </w:t>
      </w:r>
      <w:r w:rsidRPr="00CD671D">
        <w:rPr>
          <w:i/>
          <w:iCs/>
          <w:lang w:val="en-GB"/>
        </w:rPr>
        <w:t>The Times</w:t>
      </w:r>
      <w:r w:rsidRPr="00CD671D">
        <w:rPr>
          <w:lang w:val="en-GB"/>
        </w:rPr>
        <w:t xml:space="preserve">, behind Cologne. In 2025, the travel magazine </w:t>
      </w:r>
      <w:r w:rsidRPr="00CD671D">
        <w:rPr>
          <w:i/>
          <w:iCs/>
          <w:lang w:val="en-GB"/>
        </w:rPr>
        <w:t>Condé Nast Traveler</w:t>
      </w:r>
      <w:r w:rsidRPr="00CD671D">
        <w:rPr>
          <w:lang w:val="en-GB"/>
        </w:rPr>
        <w:t xml:space="preserve"> once again listed Salzburg as one of the most beautiful Christmas destinations in the world.</w:t>
      </w:r>
    </w:p>
    <w:p w14:paraId="2EB239A8" w14:textId="77777777" w:rsidR="00CD671D" w:rsidRPr="00CD671D" w:rsidRDefault="00CD671D" w:rsidP="00CD671D">
      <w:pPr>
        <w:rPr>
          <w:lang w:val="en-GB"/>
        </w:rPr>
      </w:pPr>
    </w:p>
    <w:p w14:paraId="065AB428" w14:textId="77777777" w:rsidR="00CD671D" w:rsidRPr="00CD671D" w:rsidRDefault="00CD671D" w:rsidP="00CD671D">
      <w:pPr>
        <w:rPr>
          <w:b/>
          <w:bCs/>
          <w:lang w:val="en-GB"/>
        </w:rPr>
      </w:pPr>
      <w:r w:rsidRPr="00CD671D">
        <w:rPr>
          <w:b/>
          <w:bCs/>
          <w:lang w:val="en-GB"/>
        </w:rPr>
        <w:t>Guest Arrivals and Overnight Stays 2025</w:t>
      </w:r>
    </w:p>
    <w:p w14:paraId="60BE1901" w14:textId="77777777" w:rsidR="00CD671D" w:rsidRPr="00CD671D" w:rsidRDefault="00CD671D" w:rsidP="00CD671D">
      <w:pPr>
        <w:numPr>
          <w:ilvl w:val="0"/>
          <w:numId w:val="11"/>
        </w:numPr>
        <w:spacing w:after="160" w:line="259" w:lineRule="auto"/>
        <w:rPr>
          <w:lang w:val="en-GB"/>
        </w:rPr>
      </w:pPr>
      <w:r w:rsidRPr="00CD671D">
        <w:rPr>
          <w:lang w:val="en-GB"/>
        </w:rPr>
        <w:t>Total arrivals: 1,836,515 (2024: 1,766,061)</w:t>
      </w:r>
      <w:r w:rsidRPr="00CD671D">
        <w:rPr>
          <w:lang w:val="en-GB"/>
        </w:rPr>
        <w:br/>
        <w:t>→ Arrivals: +4% compared to 2024</w:t>
      </w:r>
    </w:p>
    <w:p w14:paraId="77D21739" w14:textId="77777777" w:rsidR="00CD671D" w:rsidRPr="00CD671D" w:rsidRDefault="00CD671D" w:rsidP="00CD671D">
      <w:pPr>
        <w:numPr>
          <w:ilvl w:val="0"/>
          <w:numId w:val="11"/>
        </w:numPr>
        <w:spacing w:after="160" w:line="259" w:lineRule="auto"/>
        <w:rPr>
          <w:lang w:val="en-GB"/>
        </w:rPr>
      </w:pPr>
      <w:r w:rsidRPr="00CD671D">
        <w:rPr>
          <w:lang w:val="en-GB"/>
        </w:rPr>
        <w:t>Total overnight stays: 3,288,513 (2024: 3,138,434)</w:t>
      </w:r>
      <w:r w:rsidRPr="00CD671D">
        <w:rPr>
          <w:lang w:val="en-GB"/>
        </w:rPr>
        <w:br/>
        <w:t>→ Overnight stays: +4.8% compared to 2024</w:t>
      </w:r>
    </w:p>
    <w:p w14:paraId="51D1DA12" w14:textId="77777777" w:rsidR="00CD671D" w:rsidRPr="00CD671D" w:rsidRDefault="00CD671D" w:rsidP="00CD671D">
      <w:pPr>
        <w:rPr>
          <w:lang w:val="en-GB"/>
        </w:rPr>
      </w:pPr>
    </w:p>
    <w:p w14:paraId="7AA7C1D2" w14:textId="77777777" w:rsidR="00CD671D" w:rsidRPr="00CD671D" w:rsidRDefault="00CD671D" w:rsidP="00CD671D">
      <w:pPr>
        <w:rPr>
          <w:b/>
          <w:bCs/>
          <w:lang w:val="en-GB"/>
        </w:rPr>
      </w:pPr>
      <w:r w:rsidRPr="00CD671D">
        <w:rPr>
          <w:b/>
          <w:bCs/>
          <w:lang w:val="en-GB"/>
        </w:rPr>
        <w:t>Overnight Stays, Arrivals and Countries of Origin</w:t>
      </w:r>
    </w:p>
    <w:p w14:paraId="10C39AF7" w14:textId="77777777" w:rsidR="00CD671D" w:rsidRPr="00CD671D" w:rsidRDefault="00CD671D" w:rsidP="00CD671D">
      <w:pPr>
        <w:rPr>
          <w:lang w:val="en-GB"/>
        </w:rPr>
      </w:pPr>
      <w:r w:rsidRPr="00CD671D">
        <w:rPr>
          <w:lang w:val="en-GB"/>
        </w:rPr>
        <w:t>In the ranking of source markets, Austria leads with 727,220 overnight stays (+2.61%), accounting for 22.1% of all overnight stays.</w:t>
      </w:r>
    </w:p>
    <w:p w14:paraId="3B1CAB01" w14:textId="77777777" w:rsidR="00CD671D" w:rsidRPr="00CD671D" w:rsidRDefault="00CD671D" w:rsidP="00CD671D">
      <w:pPr>
        <w:rPr>
          <w:lang w:val="en-GB"/>
        </w:rPr>
      </w:pPr>
      <w:r w:rsidRPr="00CD671D">
        <w:rPr>
          <w:lang w:val="en-GB"/>
        </w:rPr>
        <w:t>Germany ranks second with 689,661 overnight stays (−0.51%), followed in third place by the USA, traditionally the strongest long-haul market, with 324,721 overnight stays (+12.87%).</w:t>
      </w:r>
    </w:p>
    <w:p w14:paraId="55D924D2" w14:textId="77777777" w:rsidR="00CD671D" w:rsidRPr="00CD671D" w:rsidRDefault="00CD671D" w:rsidP="00CD671D">
      <w:pPr>
        <w:rPr>
          <w:lang w:val="en-GB"/>
        </w:rPr>
      </w:pPr>
      <w:r w:rsidRPr="00CD671D">
        <w:rPr>
          <w:lang w:val="en-GB"/>
        </w:rPr>
        <w:t>The United Kingdom ranks fourth (132,311 overnight stays, +0.90%). Italy, with 85,767 overnight stays (+0.01%), has moved ahead of Switzerland (82,206 overnight stays, −6.83%) into fifth place, with Switzerland recording the largest decline.</w:t>
      </w:r>
    </w:p>
    <w:p w14:paraId="066675DE" w14:textId="77777777" w:rsidR="00CD671D" w:rsidRPr="00CD671D" w:rsidRDefault="00CD671D" w:rsidP="00CD671D">
      <w:pPr>
        <w:rPr>
          <w:lang w:val="en-GB"/>
        </w:rPr>
      </w:pPr>
      <w:r w:rsidRPr="00CD671D">
        <w:rPr>
          <w:lang w:val="en-GB"/>
        </w:rPr>
        <w:t>Ranks 7 to 9 are occupied by long-haul markets: South Korea (71,073 overnight stays, +5.34%), Southeast Asia (65,454 overnight stays), and Australia (63,602 overnight stays). The Netherlands, although dropping from rank 8 to rank 10, still recorded an increase of +4.05% to 63,331 overnight stays.</w:t>
      </w:r>
    </w:p>
    <w:p w14:paraId="23C47681" w14:textId="77777777" w:rsidR="00CD671D" w:rsidRPr="00CD671D" w:rsidRDefault="00CD671D" w:rsidP="00CD671D">
      <w:pPr>
        <w:rPr>
          <w:lang w:val="en-GB"/>
        </w:rPr>
      </w:pPr>
      <w:r w:rsidRPr="00CD671D">
        <w:rPr>
          <w:lang w:val="en-GB"/>
        </w:rPr>
        <w:t>The strongest growth in overnight stays was recorded in the long-haul markets of the USA (+12.87%), Southeast Asia (+10.89%), and Australia (+15.56%).</w:t>
      </w:r>
    </w:p>
    <w:p w14:paraId="4302F6D3" w14:textId="77777777" w:rsidR="00CD671D" w:rsidRPr="00CD671D" w:rsidRDefault="00CD671D" w:rsidP="00CD671D">
      <w:pPr>
        <w:rPr>
          <w:lang w:val="en-GB"/>
        </w:rPr>
      </w:pPr>
    </w:p>
    <w:p w14:paraId="63C3CCD3" w14:textId="77777777" w:rsidR="00CD671D" w:rsidRPr="00CD671D" w:rsidRDefault="00CD671D" w:rsidP="00CD671D">
      <w:pPr>
        <w:rPr>
          <w:b/>
          <w:bCs/>
          <w:lang w:val="en-GB"/>
        </w:rPr>
      </w:pPr>
      <w:r w:rsidRPr="00CD671D">
        <w:rPr>
          <w:b/>
          <w:bCs/>
          <w:lang w:val="en-GB"/>
        </w:rPr>
        <w:t>Share of the Top 10 Source Markets (2025 vs. 2024)</w:t>
      </w:r>
    </w:p>
    <w:p w14:paraId="6995A220" w14:textId="77777777" w:rsidR="00CD671D" w:rsidRPr="00CD671D" w:rsidRDefault="00CD671D" w:rsidP="00CD671D">
      <w:r w:rsidRPr="00CD671D">
        <w:rPr>
          <w:b/>
          <w:bCs/>
        </w:rPr>
        <w:t>2025:</w:t>
      </w:r>
    </w:p>
    <w:p w14:paraId="2C799FE9" w14:textId="77777777" w:rsidR="00CD671D" w:rsidRPr="00CD671D" w:rsidRDefault="00CD671D" w:rsidP="00CD671D">
      <w:pPr>
        <w:numPr>
          <w:ilvl w:val="0"/>
          <w:numId w:val="12"/>
        </w:numPr>
        <w:spacing w:after="160" w:line="259" w:lineRule="auto"/>
      </w:pPr>
      <w:r w:rsidRPr="00CD671D">
        <w:t>Austria – 727,220 (22.1%)</w:t>
      </w:r>
    </w:p>
    <w:p w14:paraId="50F871E7" w14:textId="77777777" w:rsidR="00CD671D" w:rsidRPr="00CD671D" w:rsidRDefault="00CD671D" w:rsidP="00CD671D">
      <w:pPr>
        <w:numPr>
          <w:ilvl w:val="0"/>
          <w:numId w:val="12"/>
        </w:numPr>
        <w:spacing w:after="160" w:line="259" w:lineRule="auto"/>
      </w:pPr>
      <w:r w:rsidRPr="00CD671D">
        <w:t>Germany – 689,661 (21.0%)</w:t>
      </w:r>
    </w:p>
    <w:p w14:paraId="663696F6" w14:textId="77777777" w:rsidR="00CD671D" w:rsidRPr="00CD671D" w:rsidRDefault="00CD671D" w:rsidP="00CD671D">
      <w:pPr>
        <w:numPr>
          <w:ilvl w:val="0"/>
          <w:numId w:val="12"/>
        </w:numPr>
        <w:spacing w:after="160" w:line="259" w:lineRule="auto"/>
      </w:pPr>
      <w:r w:rsidRPr="00CD671D">
        <w:t>USA – 324,721 (9.9%)</w:t>
      </w:r>
    </w:p>
    <w:p w14:paraId="574A58B9" w14:textId="77777777" w:rsidR="00CD671D" w:rsidRPr="00CD671D" w:rsidRDefault="00CD671D" w:rsidP="00CD671D">
      <w:pPr>
        <w:numPr>
          <w:ilvl w:val="0"/>
          <w:numId w:val="12"/>
        </w:numPr>
        <w:spacing w:after="160" w:line="259" w:lineRule="auto"/>
      </w:pPr>
      <w:r w:rsidRPr="00CD671D">
        <w:t>UK – 132,311 (4.0%)</w:t>
      </w:r>
    </w:p>
    <w:p w14:paraId="5A3A86A0" w14:textId="77777777" w:rsidR="00CD671D" w:rsidRPr="00CD671D" w:rsidRDefault="00CD671D" w:rsidP="00CD671D">
      <w:pPr>
        <w:numPr>
          <w:ilvl w:val="0"/>
          <w:numId w:val="12"/>
        </w:numPr>
        <w:spacing w:after="160" w:line="259" w:lineRule="auto"/>
      </w:pPr>
      <w:r w:rsidRPr="00CD671D">
        <w:t>Italy – 85,767 (2.6%)</w:t>
      </w:r>
    </w:p>
    <w:p w14:paraId="124B84AA" w14:textId="77777777" w:rsidR="00CD671D" w:rsidRPr="00CD671D" w:rsidRDefault="00CD671D" w:rsidP="00CD671D">
      <w:pPr>
        <w:numPr>
          <w:ilvl w:val="0"/>
          <w:numId w:val="12"/>
        </w:numPr>
        <w:spacing w:after="160" w:line="259" w:lineRule="auto"/>
      </w:pPr>
      <w:proofErr w:type="spellStart"/>
      <w:r w:rsidRPr="00CD671D">
        <w:t>Switzerland</w:t>
      </w:r>
      <w:proofErr w:type="spellEnd"/>
      <w:r w:rsidRPr="00CD671D">
        <w:t xml:space="preserve"> – 82,206 (2.5%)</w:t>
      </w:r>
    </w:p>
    <w:p w14:paraId="762D2DBE" w14:textId="77777777" w:rsidR="00CD671D" w:rsidRPr="00CD671D" w:rsidRDefault="00CD671D" w:rsidP="00CD671D">
      <w:pPr>
        <w:numPr>
          <w:ilvl w:val="0"/>
          <w:numId w:val="12"/>
        </w:numPr>
        <w:spacing w:after="160" w:line="259" w:lineRule="auto"/>
      </w:pPr>
      <w:r w:rsidRPr="00CD671D">
        <w:t>South Korea – 71,073 (2.2%)</w:t>
      </w:r>
    </w:p>
    <w:p w14:paraId="3E40D6DF" w14:textId="77777777" w:rsidR="00CD671D" w:rsidRPr="00CD671D" w:rsidRDefault="00CD671D" w:rsidP="00CD671D">
      <w:pPr>
        <w:numPr>
          <w:ilvl w:val="0"/>
          <w:numId w:val="12"/>
        </w:numPr>
        <w:spacing w:after="160" w:line="259" w:lineRule="auto"/>
      </w:pPr>
      <w:proofErr w:type="spellStart"/>
      <w:r w:rsidRPr="00CD671D">
        <w:t>Southeast</w:t>
      </w:r>
      <w:proofErr w:type="spellEnd"/>
      <w:r w:rsidRPr="00CD671D">
        <w:t xml:space="preserve"> Asia – 65,454 (2.0%)</w:t>
      </w:r>
    </w:p>
    <w:p w14:paraId="588004CC" w14:textId="77777777" w:rsidR="00CD671D" w:rsidRPr="00CD671D" w:rsidRDefault="00CD671D" w:rsidP="00CD671D">
      <w:pPr>
        <w:numPr>
          <w:ilvl w:val="0"/>
          <w:numId w:val="12"/>
        </w:numPr>
        <w:spacing w:after="160" w:line="259" w:lineRule="auto"/>
      </w:pPr>
      <w:r w:rsidRPr="00CD671D">
        <w:t>Australia – 63,602 (1.9%)</w:t>
      </w:r>
    </w:p>
    <w:p w14:paraId="4244F381" w14:textId="77777777" w:rsidR="00CD671D" w:rsidRDefault="00CD671D" w:rsidP="00CD671D">
      <w:pPr>
        <w:numPr>
          <w:ilvl w:val="0"/>
          <w:numId w:val="12"/>
        </w:numPr>
        <w:spacing w:after="160" w:line="259" w:lineRule="auto"/>
      </w:pPr>
      <w:proofErr w:type="spellStart"/>
      <w:r w:rsidRPr="00CD671D">
        <w:t>Netherlands</w:t>
      </w:r>
      <w:proofErr w:type="spellEnd"/>
      <w:r w:rsidRPr="00CD671D">
        <w:t xml:space="preserve"> – 63,331 (1.9%)</w:t>
      </w:r>
    </w:p>
    <w:p w14:paraId="57F79214" w14:textId="77777777" w:rsidR="00C51812" w:rsidRPr="00CD671D" w:rsidRDefault="00C51812" w:rsidP="00C51812">
      <w:pPr>
        <w:spacing w:after="160" w:line="259" w:lineRule="auto"/>
        <w:ind w:left="720"/>
      </w:pPr>
    </w:p>
    <w:p w14:paraId="6A3E7D31" w14:textId="77777777" w:rsidR="00CD671D" w:rsidRPr="00CD671D" w:rsidRDefault="00CD671D" w:rsidP="00CD671D">
      <w:r w:rsidRPr="00CD671D">
        <w:rPr>
          <w:b/>
          <w:bCs/>
        </w:rPr>
        <w:lastRenderedPageBreak/>
        <w:t>2024:</w:t>
      </w:r>
    </w:p>
    <w:p w14:paraId="7A55BF20" w14:textId="77777777" w:rsidR="00CD671D" w:rsidRPr="00CD671D" w:rsidRDefault="00CD671D" w:rsidP="00CD671D">
      <w:pPr>
        <w:numPr>
          <w:ilvl w:val="0"/>
          <w:numId w:val="13"/>
        </w:numPr>
        <w:spacing w:after="160" w:line="259" w:lineRule="auto"/>
      </w:pPr>
      <w:r w:rsidRPr="00CD671D">
        <w:t>Austria – 708,718 (22.6%)</w:t>
      </w:r>
    </w:p>
    <w:p w14:paraId="46923845" w14:textId="77777777" w:rsidR="00CD671D" w:rsidRPr="00CD671D" w:rsidRDefault="00CD671D" w:rsidP="00CD671D">
      <w:pPr>
        <w:numPr>
          <w:ilvl w:val="0"/>
          <w:numId w:val="13"/>
        </w:numPr>
        <w:spacing w:after="160" w:line="259" w:lineRule="auto"/>
      </w:pPr>
      <w:r w:rsidRPr="00CD671D">
        <w:t>Germany – 693,225 (22.1%)</w:t>
      </w:r>
    </w:p>
    <w:p w14:paraId="72857C77" w14:textId="77777777" w:rsidR="00CD671D" w:rsidRPr="00CD671D" w:rsidRDefault="00CD671D" w:rsidP="00CD671D">
      <w:pPr>
        <w:numPr>
          <w:ilvl w:val="0"/>
          <w:numId w:val="13"/>
        </w:numPr>
        <w:spacing w:after="160" w:line="259" w:lineRule="auto"/>
      </w:pPr>
      <w:r w:rsidRPr="00CD671D">
        <w:t>USA – 287,695 (9.2%)</w:t>
      </w:r>
    </w:p>
    <w:p w14:paraId="0604D36D" w14:textId="77777777" w:rsidR="00CD671D" w:rsidRPr="00CD671D" w:rsidRDefault="00CD671D" w:rsidP="00CD671D">
      <w:pPr>
        <w:numPr>
          <w:ilvl w:val="0"/>
          <w:numId w:val="13"/>
        </w:numPr>
        <w:spacing w:after="160" w:line="259" w:lineRule="auto"/>
      </w:pPr>
      <w:r w:rsidRPr="00CD671D">
        <w:t>UK – 131,136 (4.2%)</w:t>
      </w:r>
    </w:p>
    <w:p w14:paraId="022FA92F" w14:textId="77777777" w:rsidR="00CD671D" w:rsidRPr="00CD671D" w:rsidRDefault="00CD671D" w:rsidP="00CD671D">
      <w:pPr>
        <w:numPr>
          <w:ilvl w:val="0"/>
          <w:numId w:val="13"/>
        </w:numPr>
        <w:spacing w:after="160" w:line="259" w:lineRule="auto"/>
      </w:pPr>
      <w:proofErr w:type="spellStart"/>
      <w:r w:rsidRPr="00CD671D">
        <w:t>Switzerland</w:t>
      </w:r>
      <w:proofErr w:type="spellEnd"/>
      <w:r w:rsidRPr="00CD671D">
        <w:t xml:space="preserve"> – 88,228 (2.8%)</w:t>
      </w:r>
    </w:p>
    <w:p w14:paraId="797A2678" w14:textId="77777777" w:rsidR="00CD671D" w:rsidRPr="00CD671D" w:rsidRDefault="00CD671D" w:rsidP="00CD671D">
      <w:pPr>
        <w:numPr>
          <w:ilvl w:val="0"/>
          <w:numId w:val="13"/>
        </w:numPr>
        <w:spacing w:after="160" w:line="259" w:lineRule="auto"/>
      </w:pPr>
      <w:r w:rsidRPr="00CD671D">
        <w:t>Italy – 85,755 (2.7%)</w:t>
      </w:r>
    </w:p>
    <w:p w14:paraId="5E22C4DA" w14:textId="77777777" w:rsidR="00CD671D" w:rsidRPr="00CD671D" w:rsidRDefault="00CD671D" w:rsidP="00CD671D">
      <w:pPr>
        <w:numPr>
          <w:ilvl w:val="0"/>
          <w:numId w:val="13"/>
        </w:numPr>
        <w:spacing w:after="160" w:line="259" w:lineRule="auto"/>
      </w:pPr>
      <w:r w:rsidRPr="00CD671D">
        <w:t>South Korea – 67,468 (2.2%)</w:t>
      </w:r>
    </w:p>
    <w:p w14:paraId="76E6C851" w14:textId="77777777" w:rsidR="00CD671D" w:rsidRPr="00CD671D" w:rsidRDefault="00CD671D" w:rsidP="00CD671D">
      <w:pPr>
        <w:numPr>
          <w:ilvl w:val="0"/>
          <w:numId w:val="13"/>
        </w:numPr>
        <w:spacing w:after="160" w:line="259" w:lineRule="auto"/>
      </w:pPr>
      <w:proofErr w:type="spellStart"/>
      <w:r w:rsidRPr="00CD671D">
        <w:t>Netherlands</w:t>
      </w:r>
      <w:proofErr w:type="spellEnd"/>
      <w:r w:rsidRPr="00CD671D">
        <w:t xml:space="preserve"> – 60,866 (1.9%)</w:t>
      </w:r>
    </w:p>
    <w:p w14:paraId="0E9FC590" w14:textId="77777777" w:rsidR="00CD671D" w:rsidRPr="00CD671D" w:rsidRDefault="00CD671D" w:rsidP="00CD671D">
      <w:pPr>
        <w:numPr>
          <w:ilvl w:val="0"/>
          <w:numId w:val="13"/>
        </w:numPr>
        <w:spacing w:after="160" w:line="259" w:lineRule="auto"/>
      </w:pPr>
      <w:proofErr w:type="spellStart"/>
      <w:r w:rsidRPr="00CD671D">
        <w:t>Southeast</w:t>
      </w:r>
      <w:proofErr w:type="spellEnd"/>
      <w:r w:rsidRPr="00CD671D">
        <w:t xml:space="preserve"> Asia – 59,025 (1.9%)</w:t>
      </w:r>
    </w:p>
    <w:p w14:paraId="226ADBCA" w14:textId="77777777" w:rsidR="00CD671D" w:rsidRPr="00CD671D" w:rsidRDefault="00CD671D" w:rsidP="00CD671D">
      <w:pPr>
        <w:numPr>
          <w:ilvl w:val="0"/>
          <w:numId w:val="13"/>
        </w:numPr>
        <w:spacing w:after="160" w:line="259" w:lineRule="auto"/>
      </w:pPr>
      <w:r w:rsidRPr="00CD671D">
        <w:t>Australia – 55,040 (1.8%)</w:t>
      </w:r>
    </w:p>
    <w:p w14:paraId="787E89E1" w14:textId="77777777" w:rsidR="00CD671D" w:rsidRPr="00CD671D" w:rsidRDefault="00CD671D" w:rsidP="00CD671D"/>
    <w:p w14:paraId="297C711B" w14:textId="77777777" w:rsidR="00CD671D" w:rsidRPr="00CD671D" w:rsidRDefault="00CD671D" w:rsidP="00CD671D">
      <w:pPr>
        <w:rPr>
          <w:b/>
          <w:bCs/>
          <w:lang w:val="en-GB"/>
        </w:rPr>
      </w:pPr>
      <w:r w:rsidRPr="00CD671D">
        <w:rPr>
          <w:b/>
          <w:bCs/>
          <w:lang w:val="en-GB"/>
        </w:rPr>
        <w:t>Accommodation Supply</w:t>
      </w:r>
    </w:p>
    <w:p w14:paraId="260BCFBC" w14:textId="77777777" w:rsidR="00CD671D" w:rsidRPr="00CD671D" w:rsidRDefault="00CD671D" w:rsidP="00CD671D">
      <w:pPr>
        <w:rPr>
          <w:lang w:val="en-GB"/>
        </w:rPr>
      </w:pPr>
      <w:r w:rsidRPr="00CD671D">
        <w:rPr>
          <w:lang w:val="en-GB"/>
        </w:rPr>
        <w:t>As of December 31, 2025, the city of Salzburg had exactly 115 commercial establishments (categorized hotels, inns, and guesthouses), offering 14,774 beds—an increase of 518 beds compared to the previous year.</w:t>
      </w:r>
    </w:p>
    <w:p w14:paraId="2E2D183E" w14:textId="77777777" w:rsidR="00CD671D" w:rsidRPr="00CD671D" w:rsidRDefault="00CD671D" w:rsidP="00CD671D">
      <w:r w:rsidRPr="00CD671D">
        <w:t xml:space="preserve">Breakdown </w:t>
      </w:r>
      <w:proofErr w:type="spellStart"/>
      <w:r w:rsidRPr="00CD671D">
        <w:t>by</w:t>
      </w:r>
      <w:proofErr w:type="spellEnd"/>
      <w:r w:rsidRPr="00CD671D">
        <w:t xml:space="preserve"> </w:t>
      </w:r>
      <w:proofErr w:type="spellStart"/>
      <w:r w:rsidRPr="00CD671D">
        <w:t>category</w:t>
      </w:r>
      <w:proofErr w:type="spellEnd"/>
      <w:r w:rsidRPr="00CD671D">
        <w:t>:</w:t>
      </w:r>
    </w:p>
    <w:p w14:paraId="1307DE2A" w14:textId="77777777" w:rsidR="00CD671D" w:rsidRPr="00CD671D" w:rsidRDefault="00CD671D" w:rsidP="00CD671D">
      <w:pPr>
        <w:numPr>
          <w:ilvl w:val="0"/>
          <w:numId w:val="14"/>
        </w:numPr>
        <w:spacing w:after="160" w:line="259" w:lineRule="auto"/>
      </w:pPr>
      <w:r w:rsidRPr="00CD671D">
        <w:t xml:space="preserve">7 </w:t>
      </w:r>
      <w:proofErr w:type="spellStart"/>
      <w:r w:rsidRPr="00CD671D">
        <w:t>five</w:t>
      </w:r>
      <w:proofErr w:type="spellEnd"/>
      <w:r w:rsidRPr="00CD671D">
        <w:t xml:space="preserve">-star </w:t>
      </w:r>
      <w:proofErr w:type="spellStart"/>
      <w:r w:rsidRPr="00CD671D">
        <w:t>establishments</w:t>
      </w:r>
      <w:proofErr w:type="spellEnd"/>
      <w:r w:rsidRPr="00CD671D">
        <w:t xml:space="preserve"> </w:t>
      </w:r>
      <w:proofErr w:type="spellStart"/>
      <w:r w:rsidRPr="00CD671D">
        <w:t>with</w:t>
      </w:r>
      <w:proofErr w:type="spellEnd"/>
      <w:r w:rsidRPr="00CD671D">
        <w:t xml:space="preserve"> 1,304 </w:t>
      </w:r>
      <w:proofErr w:type="spellStart"/>
      <w:r w:rsidRPr="00CD671D">
        <w:t>beds</w:t>
      </w:r>
      <w:proofErr w:type="spellEnd"/>
    </w:p>
    <w:p w14:paraId="2FE2AA5B" w14:textId="77777777" w:rsidR="00CD671D" w:rsidRPr="00CD671D" w:rsidRDefault="00CD671D" w:rsidP="00CD671D">
      <w:pPr>
        <w:numPr>
          <w:ilvl w:val="0"/>
          <w:numId w:val="14"/>
        </w:numPr>
        <w:spacing w:after="160" w:line="259" w:lineRule="auto"/>
      </w:pPr>
      <w:r w:rsidRPr="00CD671D">
        <w:t xml:space="preserve">47 </w:t>
      </w:r>
      <w:proofErr w:type="spellStart"/>
      <w:r w:rsidRPr="00CD671D">
        <w:t>four</w:t>
      </w:r>
      <w:proofErr w:type="spellEnd"/>
      <w:r w:rsidRPr="00CD671D">
        <w:t xml:space="preserve">-star </w:t>
      </w:r>
      <w:proofErr w:type="spellStart"/>
      <w:r w:rsidRPr="00CD671D">
        <w:t>establishments</w:t>
      </w:r>
      <w:proofErr w:type="spellEnd"/>
      <w:r w:rsidRPr="00CD671D">
        <w:t xml:space="preserve"> </w:t>
      </w:r>
      <w:proofErr w:type="spellStart"/>
      <w:r w:rsidRPr="00CD671D">
        <w:t>with</w:t>
      </w:r>
      <w:proofErr w:type="spellEnd"/>
      <w:r w:rsidRPr="00CD671D">
        <w:t xml:space="preserve"> 7,055 </w:t>
      </w:r>
      <w:proofErr w:type="spellStart"/>
      <w:r w:rsidRPr="00CD671D">
        <w:t>beds</w:t>
      </w:r>
      <w:proofErr w:type="spellEnd"/>
    </w:p>
    <w:p w14:paraId="25AE2845" w14:textId="77777777" w:rsidR="00CD671D" w:rsidRPr="00CD671D" w:rsidRDefault="00CD671D" w:rsidP="00CD671D">
      <w:pPr>
        <w:numPr>
          <w:ilvl w:val="0"/>
          <w:numId w:val="14"/>
        </w:numPr>
        <w:spacing w:after="160" w:line="259" w:lineRule="auto"/>
      </w:pPr>
      <w:r w:rsidRPr="00CD671D">
        <w:t xml:space="preserve">40 </w:t>
      </w:r>
      <w:proofErr w:type="spellStart"/>
      <w:r w:rsidRPr="00CD671D">
        <w:t>three</w:t>
      </w:r>
      <w:proofErr w:type="spellEnd"/>
      <w:r w:rsidRPr="00CD671D">
        <w:t xml:space="preserve">-star </w:t>
      </w:r>
      <w:proofErr w:type="spellStart"/>
      <w:r w:rsidRPr="00CD671D">
        <w:t>establishments</w:t>
      </w:r>
      <w:proofErr w:type="spellEnd"/>
      <w:r w:rsidRPr="00CD671D">
        <w:t xml:space="preserve"> </w:t>
      </w:r>
      <w:proofErr w:type="spellStart"/>
      <w:r w:rsidRPr="00CD671D">
        <w:t>with</w:t>
      </w:r>
      <w:proofErr w:type="spellEnd"/>
      <w:r w:rsidRPr="00CD671D">
        <w:t xml:space="preserve"> 3,220 </w:t>
      </w:r>
      <w:proofErr w:type="spellStart"/>
      <w:r w:rsidRPr="00CD671D">
        <w:t>beds</w:t>
      </w:r>
      <w:proofErr w:type="spellEnd"/>
    </w:p>
    <w:p w14:paraId="254BB649" w14:textId="77777777" w:rsidR="00CD671D" w:rsidRPr="00CD671D" w:rsidRDefault="00CD671D" w:rsidP="00CD671D">
      <w:pPr>
        <w:numPr>
          <w:ilvl w:val="0"/>
          <w:numId w:val="14"/>
        </w:numPr>
        <w:spacing w:after="160" w:line="259" w:lineRule="auto"/>
        <w:rPr>
          <w:lang w:val="en-GB"/>
        </w:rPr>
      </w:pPr>
      <w:r w:rsidRPr="00CD671D">
        <w:rPr>
          <w:lang w:val="en-GB"/>
        </w:rPr>
        <w:t>21 one- and two-star establishments with 3,195 beds</w:t>
      </w:r>
    </w:p>
    <w:p w14:paraId="649CD27A" w14:textId="77777777" w:rsidR="00CD671D" w:rsidRPr="00CD671D" w:rsidRDefault="00CD671D" w:rsidP="00CD671D">
      <w:pPr>
        <w:rPr>
          <w:lang w:val="en-GB"/>
        </w:rPr>
      </w:pPr>
      <w:r w:rsidRPr="00CD671D">
        <w:rPr>
          <w:lang w:val="en-GB"/>
        </w:rPr>
        <w:t>Of the 3,288,513 overnight stays in hotels and similar establishments:</w:t>
      </w:r>
    </w:p>
    <w:p w14:paraId="6F4388DB" w14:textId="77777777" w:rsidR="00CD671D" w:rsidRPr="00CD671D" w:rsidRDefault="00CD671D" w:rsidP="00CD671D">
      <w:pPr>
        <w:numPr>
          <w:ilvl w:val="0"/>
          <w:numId w:val="15"/>
        </w:numPr>
        <w:spacing w:after="160" w:line="259" w:lineRule="auto"/>
      </w:pPr>
      <w:r w:rsidRPr="00CD671D">
        <w:t>Five-star: 238,709 (7.26%)</w:t>
      </w:r>
    </w:p>
    <w:p w14:paraId="0CE6210A" w14:textId="77777777" w:rsidR="00CD671D" w:rsidRPr="00CD671D" w:rsidRDefault="00CD671D" w:rsidP="00CD671D">
      <w:pPr>
        <w:numPr>
          <w:ilvl w:val="0"/>
          <w:numId w:val="15"/>
        </w:numPr>
        <w:spacing w:after="160" w:line="259" w:lineRule="auto"/>
      </w:pPr>
      <w:proofErr w:type="spellStart"/>
      <w:r w:rsidRPr="00CD671D">
        <w:t>Four</w:t>
      </w:r>
      <w:proofErr w:type="spellEnd"/>
      <w:r w:rsidRPr="00CD671D">
        <w:t>-star: 1,469,831 (44.70%)</w:t>
      </w:r>
    </w:p>
    <w:p w14:paraId="738E2A43" w14:textId="77777777" w:rsidR="00CD671D" w:rsidRPr="00CD671D" w:rsidRDefault="00CD671D" w:rsidP="00CD671D">
      <w:pPr>
        <w:numPr>
          <w:ilvl w:val="0"/>
          <w:numId w:val="15"/>
        </w:numPr>
        <w:spacing w:after="160" w:line="259" w:lineRule="auto"/>
      </w:pPr>
      <w:proofErr w:type="spellStart"/>
      <w:r w:rsidRPr="00CD671D">
        <w:t>Three</w:t>
      </w:r>
      <w:proofErr w:type="spellEnd"/>
      <w:r w:rsidRPr="00CD671D">
        <w:t>-star: 821,273 (24.97%)</w:t>
      </w:r>
    </w:p>
    <w:p w14:paraId="2FF83DEF" w14:textId="77777777" w:rsidR="00CD671D" w:rsidRPr="00CD671D" w:rsidRDefault="00CD671D" w:rsidP="00CD671D">
      <w:pPr>
        <w:numPr>
          <w:ilvl w:val="0"/>
          <w:numId w:val="15"/>
        </w:numPr>
        <w:spacing w:after="160" w:line="259" w:lineRule="auto"/>
      </w:pPr>
      <w:proofErr w:type="spellStart"/>
      <w:r w:rsidRPr="00CD671D">
        <w:t>One</w:t>
      </w:r>
      <w:proofErr w:type="spellEnd"/>
      <w:r w:rsidRPr="00CD671D">
        <w:t>-/</w:t>
      </w:r>
      <w:proofErr w:type="spellStart"/>
      <w:r w:rsidRPr="00CD671D">
        <w:t>two</w:t>
      </w:r>
      <w:proofErr w:type="spellEnd"/>
      <w:r w:rsidRPr="00CD671D">
        <w:t>-star: 515,610 (15.68%)</w:t>
      </w:r>
    </w:p>
    <w:p w14:paraId="616CBB62" w14:textId="77777777" w:rsidR="00CD671D" w:rsidRPr="00CD671D" w:rsidRDefault="00CD671D" w:rsidP="00CD671D">
      <w:pPr>
        <w:rPr>
          <w:lang w:val="en-GB"/>
        </w:rPr>
      </w:pPr>
      <w:r w:rsidRPr="00CD671D">
        <w:rPr>
          <w:lang w:val="en-GB"/>
        </w:rPr>
        <w:t>Camping sites and youth hostels recorded 89,636 overnight stays (2.73%), while private accommodations and other lodgings accounted for 153,454 overnight stays (4.67%).</w:t>
      </w:r>
    </w:p>
    <w:p w14:paraId="235D9C55" w14:textId="77777777" w:rsidR="00CD671D" w:rsidRPr="00CD671D" w:rsidRDefault="00CD671D" w:rsidP="00CD671D">
      <w:pPr>
        <w:rPr>
          <w:lang w:val="en-GB"/>
        </w:rPr>
      </w:pPr>
      <w:r w:rsidRPr="00CD671D">
        <w:rPr>
          <w:lang w:val="en-GB"/>
        </w:rPr>
        <w:t>In 2025, hotels achieved an average bed occupancy rate of 54.2% (2024: 56.2%), with the highest monthly occupancy recorded in August at 70.16%.</w:t>
      </w:r>
    </w:p>
    <w:p w14:paraId="59433AC6" w14:textId="77777777" w:rsidR="00CD671D" w:rsidRPr="00CD671D" w:rsidRDefault="00CD671D" w:rsidP="00CD671D">
      <w:pPr>
        <w:rPr>
          <w:lang w:val="en-GB"/>
        </w:rPr>
      </w:pPr>
      <w:r w:rsidRPr="00CD671D">
        <w:rPr>
          <w:lang w:val="en-GB"/>
        </w:rPr>
        <w:t>The average length of stay in 2025 was 1.79 nights.</w:t>
      </w:r>
    </w:p>
    <w:p w14:paraId="0332AC3A" w14:textId="77777777" w:rsidR="00CD671D" w:rsidRDefault="00CD671D" w:rsidP="00CD671D">
      <w:pPr>
        <w:rPr>
          <w:lang w:val="en-GB"/>
        </w:rPr>
      </w:pPr>
    </w:p>
    <w:p w14:paraId="17065000" w14:textId="77777777" w:rsidR="00C51812" w:rsidRPr="00CD671D" w:rsidRDefault="00C51812" w:rsidP="00CD671D">
      <w:pPr>
        <w:rPr>
          <w:lang w:val="en-GB"/>
        </w:rPr>
      </w:pPr>
    </w:p>
    <w:p w14:paraId="4A05EEEF" w14:textId="77777777" w:rsidR="00CD671D" w:rsidRPr="00CD671D" w:rsidRDefault="00CD671D" w:rsidP="00CD671D">
      <w:pPr>
        <w:rPr>
          <w:b/>
          <w:bCs/>
          <w:lang w:val="en-GB"/>
        </w:rPr>
      </w:pPr>
      <w:r w:rsidRPr="00CD671D">
        <w:rPr>
          <w:b/>
          <w:bCs/>
          <w:lang w:val="en-GB"/>
        </w:rPr>
        <w:lastRenderedPageBreak/>
        <w:t>Day Tourism</w:t>
      </w:r>
    </w:p>
    <w:p w14:paraId="60AC13B4" w14:textId="77777777" w:rsidR="00CD671D" w:rsidRPr="00CD671D" w:rsidRDefault="00CD671D" w:rsidP="00CD671D">
      <w:pPr>
        <w:rPr>
          <w:lang w:val="en-GB"/>
        </w:rPr>
      </w:pPr>
      <w:r w:rsidRPr="00CD671D">
        <w:rPr>
          <w:lang w:val="en-GB"/>
        </w:rPr>
        <w:t xml:space="preserve">Approximately </w:t>
      </w:r>
      <w:proofErr w:type="gramStart"/>
      <w:r w:rsidRPr="00CD671D">
        <w:rPr>
          <w:lang w:val="en-GB"/>
        </w:rPr>
        <w:t>6.5 million day</w:t>
      </w:r>
      <w:proofErr w:type="gramEnd"/>
      <w:r w:rsidRPr="00CD671D">
        <w:rPr>
          <w:lang w:val="en-GB"/>
        </w:rPr>
        <w:t xml:space="preserve"> visitors come to Salzburg annually. Of these, 3.5 million come from the surrounding region (around 70% from Austria and 30% from </w:t>
      </w:r>
      <w:proofErr w:type="spellStart"/>
      <w:r w:rsidRPr="00CD671D">
        <w:rPr>
          <w:lang w:val="en-GB"/>
        </w:rPr>
        <w:t>neighboring</w:t>
      </w:r>
      <w:proofErr w:type="spellEnd"/>
      <w:r w:rsidRPr="00CD671D">
        <w:rPr>
          <w:lang w:val="en-GB"/>
        </w:rPr>
        <w:t xml:space="preserve"> Bavaria).</w:t>
      </w:r>
    </w:p>
    <w:p w14:paraId="447CB8CE" w14:textId="77777777" w:rsidR="00CD671D" w:rsidRPr="00CD671D" w:rsidRDefault="00CD671D" w:rsidP="00CD671D">
      <w:pPr>
        <w:rPr>
          <w:lang w:val="en-GB"/>
        </w:rPr>
      </w:pPr>
      <w:r w:rsidRPr="00CD671D">
        <w:rPr>
          <w:lang w:val="en-GB"/>
        </w:rPr>
        <w:t>The most popular activities among day visitors are dining out, strolling, and shopping. Peak seasons occur during the summer months.</w:t>
      </w:r>
    </w:p>
    <w:p w14:paraId="7FCA9D8F" w14:textId="77777777" w:rsidR="00CD671D" w:rsidRPr="00CD671D" w:rsidRDefault="00CD671D" w:rsidP="00CD671D">
      <w:pPr>
        <w:rPr>
          <w:lang w:val="en-GB"/>
        </w:rPr>
      </w:pPr>
      <w:r w:rsidRPr="00CD671D">
        <w:rPr>
          <w:lang w:val="en-GB"/>
        </w:rPr>
        <w:t>On average, day visitors stay for about 5.5 hours in the city and spend approximately €37 per person.</w:t>
      </w:r>
    </w:p>
    <w:p w14:paraId="1B0B7847" w14:textId="77777777" w:rsidR="00CD671D" w:rsidRPr="00CD671D" w:rsidRDefault="00CD671D" w:rsidP="00CD671D">
      <w:pPr>
        <w:rPr>
          <w:lang w:val="en-GB"/>
        </w:rPr>
      </w:pPr>
    </w:p>
    <w:p w14:paraId="2212030D" w14:textId="77777777" w:rsidR="00CD671D" w:rsidRPr="00CD671D" w:rsidRDefault="00CD671D" w:rsidP="00CD671D">
      <w:pPr>
        <w:rPr>
          <w:b/>
          <w:bCs/>
          <w:lang w:val="en-GB"/>
        </w:rPr>
      </w:pPr>
      <w:r w:rsidRPr="00CD671D">
        <w:rPr>
          <w:b/>
          <w:bCs/>
          <w:lang w:val="en-GB"/>
        </w:rPr>
        <w:t>Tour Buses and Transport</w:t>
      </w:r>
    </w:p>
    <w:p w14:paraId="280BD999" w14:textId="77777777" w:rsidR="00CD671D" w:rsidRPr="00CD671D" w:rsidRDefault="00CD671D" w:rsidP="00CD671D">
      <w:pPr>
        <w:rPr>
          <w:lang w:val="en-GB"/>
        </w:rPr>
      </w:pPr>
      <w:r w:rsidRPr="00CD671D">
        <w:rPr>
          <w:lang w:val="en-GB"/>
        </w:rPr>
        <w:t xml:space="preserve">Since June 2018, tour buses have been required to book a time slot at two designated terminals via an online reservation system. This measure has reduced the number of buses and led to a more even distribution of groups between the </w:t>
      </w:r>
      <w:proofErr w:type="spellStart"/>
      <w:r w:rsidRPr="00CD671D">
        <w:rPr>
          <w:lang w:val="en-GB"/>
        </w:rPr>
        <w:t>Nonntal</w:t>
      </w:r>
      <w:proofErr w:type="spellEnd"/>
      <w:r w:rsidRPr="00CD671D">
        <w:rPr>
          <w:lang w:val="en-GB"/>
        </w:rPr>
        <w:t xml:space="preserve"> and Paris-</w:t>
      </w:r>
      <w:proofErr w:type="spellStart"/>
      <w:r w:rsidRPr="00CD671D">
        <w:rPr>
          <w:lang w:val="en-GB"/>
        </w:rPr>
        <w:t>Lodron</w:t>
      </w:r>
      <w:proofErr w:type="spellEnd"/>
      <w:r w:rsidRPr="00CD671D">
        <w:rPr>
          <w:lang w:val="en-GB"/>
        </w:rPr>
        <w:t>-</w:t>
      </w:r>
      <w:proofErr w:type="spellStart"/>
      <w:r w:rsidRPr="00CD671D">
        <w:rPr>
          <w:lang w:val="en-GB"/>
        </w:rPr>
        <w:t>Straße</w:t>
      </w:r>
      <w:proofErr w:type="spellEnd"/>
      <w:r w:rsidRPr="00CD671D">
        <w:rPr>
          <w:lang w:val="en-GB"/>
        </w:rPr>
        <w:t xml:space="preserve"> terminals.</w:t>
      </w:r>
    </w:p>
    <w:p w14:paraId="69A78E2F" w14:textId="77777777" w:rsidR="00CD671D" w:rsidRPr="00CD671D" w:rsidRDefault="00CD671D" w:rsidP="00CD671D">
      <w:pPr>
        <w:rPr>
          <w:lang w:val="en-GB"/>
        </w:rPr>
      </w:pPr>
      <w:r w:rsidRPr="00CD671D">
        <w:rPr>
          <w:lang w:val="en-GB"/>
        </w:rPr>
        <w:t>In 2025, 24,994 tour buses were registered. This represents an increase of 2.8% compared to the previous year, but a decrease of 36.5% compared to 2019.</w:t>
      </w:r>
    </w:p>
    <w:p w14:paraId="5C06857A" w14:textId="77777777" w:rsidR="00CD671D" w:rsidRPr="00CD671D" w:rsidRDefault="00CD671D" w:rsidP="00CD671D">
      <w:pPr>
        <w:numPr>
          <w:ilvl w:val="0"/>
          <w:numId w:val="16"/>
        </w:numPr>
        <w:spacing w:after="160" w:line="259" w:lineRule="auto"/>
      </w:pPr>
      <w:r w:rsidRPr="00CD671D">
        <w:t xml:space="preserve">46.5% </w:t>
      </w:r>
      <w:proofErr w:type="spellStart"/>
      <w:r w:rsidRPr="00CD671D">
        <w:t>used</w:t>
      </w:r>
      <w:proofErr w:type="spellEnd"/>
      <w:r w:rsidRPr="00CD671D">
        <w:t xml:space="preserve"> </w:t>
      </w:r>
      <w:proofErr w:type="spellStart"/>
      <w:r w:rsidRPr="00CD671D">
        <w:t>the</w:t>
      </w:r>
      <w:proofErr w:type="spellEnd"/>
      <w:r w:rsidRPr="00CD671D">
        <w:t xml:space="preserve"> Nonntal terminal</w:t>
      </w:r>
    </w:p>
    <w:p w14:paraId="013B8273" w14:textId="77777777" w:rsidR="00CD671D" w:rsidRPr="00CD671D" w:rsidRDefault="00CD671D" w:rsidP="00CD671D">
      <w:pPr>
        <w:numPr>
          <w:ilvl w:val="0"/>
          <w:numId w:val="16"/>
        </w:numPr>
        <w:spacing w:after="160" w:line="259" w:lineRule="auto"/>
        <w:rPr>
          <w:lang w:val="en-GB"/>
        </w:rPr>
      </w:pPr>
      <w:r w:rsidRPr="00CD671D">
        <w:rPr>
          <w:lang w:val="en-GB"/>
        </w:rPr>
        <w:t>53.5% used the Paris-</w:t>
      </w:r>
      <w:proofErr w:type="spellStart"/>
      <w:r w:rsidRPr="00CD671D">
        <w:rPr>
          <w:lang w:val="en-GB"/>
        </w:rPr>
        <w:t>Lodron</w:t>
      </w:r>
      <w:proofErr w:type="spellEnd"/>
      <w:r w:rsidRPr="00CD671D">
        <w:rPr>
          <w:lang w:val="en-GB"/>
        </w:rPr>
        <w:t>-</w:t>
      </w:r>
      <w:proofErr w:type="spellStart"/>
      <w:r w:rsidRPr="00CD671D">
        <w:rPr>
          <w:lang w:val="en-GB"/>
        </w:rPr>
        <w:t>Straße</w:t>
      </w:r>
      <w:proofErr w:type="spellEnd"/>
      <w:r w:rsidRPr="00CD671D">
        <w:rPr>
          <w:lang w:val="en-GB"/>
        </w:rPr>
        <w:t xml:space="preserve"> terminal</w:t>
      </w:r>
    </w:p>
    <w:p w14:paraId="6308232F" w14:textId="77777777" w:rsidR="00CD671D" w:rsidRPr="00CD671D" w:rsidRDefault="00CD671D" w:rsidP="00CD671D">
      <w:pPr>
        <w:rPr>
          <w:lang w:val="en-GB"/>
        </w:rPr>
      </w:pPr>
    </w:p>
    <w:p w14:paraId="4A3A9EC3" w14:textId="77777777" w:rsidR="00CD671D" w:rsidRPr="00CD671D" w:rsidRDefault="00CD671D" w:rsidP="00CD671D">
      <w:pPr>
        <w:rPr>
          <w:b/>
          <w:bCs/>
          <w:lang w:val="en-GB"/>
        </w:rPr>
      </w:pPr>
      <w:r w:rsidRPr="00CD671D">
        <w:rPr>
          <w:b/>
          <w:bCs/>
          <w:lang w:val="en-GB"/>
        </w:rPr>
        <w:t>Tourism as an Economic Factor</w:t>
      </w:r>
    </w:p>
    <w:p w14:paraId="45E9783B" w14:textId="77777777" w:rsidR="00CD671D" w:rsidRPr="00CD671D" w:rsidRDefault="00CD671D" w:rsidP="00CD671D">
      <w:pPr>
        <w:rPr>
          <w:lang w:val="en-GB"/>
        </w:rPr>
      </w:pPr>
      <w:r w:rsidRPr="00CD671D">
        <w:rPr>
          <w:lang w:val="en-GB"/>
        </w:rPr>
        <w:t>Tourism is a key economic sector in both Austria and Salzburg, contributing to growth and employment.</w:t>
      </w:r>
    </w:p>
    <w:p w14:paraId="28B63DA9" w14:textId="77777777" w:rsidR="00CD671D" w:rsidRPr="00CD671D" w:rsidRDefault="00CD671D" w:rsidP="00CD671D">
      <w:pPr>
        <w:numPr>
          <w:ilvl w:val="0"/>
          <w:numId w:val="17"/>
        </w:numPr>
        <w:spacing w:after="160" w:line="259" w:lineRule="auto"/>
      </w:pPr>
      <w:r w:rsidRPr="00CD671D">
        <w:rPr>
          <w:lang w:val="en-GB"/>
        </w:rPr>
        <w:t xml:space="preserve">Total tourism revenue in Salzburg: approx. </w:t>
      </w:r>
      <w:r w:rsidRPr="00CD671D">
        <w:t xml:space="preserve">€1 </w:t>
      </w:r>
      <w:proofErr w:type="spellStart"/>
      <w:r w:rsidRPr="00CD671D">
        <w:t>billion</w:t>
      </w:r>
      <w:proofErr w:type="spellEnd"/>
    </w:p>
    <w:p w14:paraId="72684825" w14:textId="77777777" w:rsidR="00CD671D" w:rsidRPr="00CD671D" w:rsidRDefault="00CD671D" w:rsidP="00CD671D">
      <w:pPr>
        <w:numPr>
          <w:ilvl w:val="0"/>
          <w:numId w:val="17"/>
        </w:numPr>
        <w:spacing w:after="160" w:line="259" w:lineRule="auto"/>
      </w:pPr>
      <w:r w:rsidRPr="00CD671D">
        <w:rPr>
          <w:lang w:val="en-GB"/>
        </w:rPr>
        <w:t xml:space="preserve">Share of local GDP: approx. </w:t>
      </w:r>
      <w:r w:rsidRPr="00CD671D">
        <w:t>16–18%</w:t>
      </w:r>
    </w:p>
    <w:p w14:paraId="25A4A5C9" w14:textId="77777777" w:rsidR="00CD671D" w:rsidRPr="00CD671D" w:rsidRDefault="00CD671D" w:rsidP="00CD671D">
      <w:pPr>
        <w:numPr>
          <w:ilvl w:val="0"/>
          <w:numId w:val="17"/>
        </w:numPr>
        <w:spacing w:after="160" w:line="259" w:lineRule="auto"/>
      </w:pPr>
      <w:r w:rsidRPr="00CD671D">
        <w:t xml:space="preserve">Jobs </w:t>
      </w:r>
      <w:proofErr w:type="spellStart"/>
      <w:r w:rsidRPr="00CD671D">
        <w:t>supported</w:t>
      </w:r>
      <w:proofErr w:type="spellEnd"/>
      <w:r w:rsidRPr="00CD671D">
        <w:t xml:space="preserve">: </w:t>
      </w:r>
      <w:proofErr w:type="spellStart"/>
      <w:r w:rsidRPr="00CD671D">
        <w:t>approx</w:t>
      </w:r>
      <w:proofErr w:type="spellEnd"/>
      <w:r w:rsidRPr="00CD671D">
        <w:t>. 10,000</w:t>
      </w:r>
    </w:p>
    <w:p w14:paraId="3878CAB0" w14:textId="77777777" w:rsidR="00CD671D" w:rsidRPr="00CD671D" w:rsidRDefault="00CD671D" w:rsidP="00CD671D">
      <w:pPr>
        <w:rPr>
          <w:lang w:val="en-GB"/>
        </w:rPr>
      </w:pPr>
      <w:r w:rsidRPr="00CD671D">
        <w:rPr>
          <w:lang w:val="en-GB"/>
        </w:rPr>
        <w:t>According to official statistics, 89.6% of the workforce is employed in the service sector (latest available data from 2023).</w:t>
      </w:r>
    </w:p>
    <w:p w14:paraId="0D04A466" w14:textId="77777777" w:rsidR="00CD671D" w:rsidRPr="00CD671D" w:rsidRDefault="00CD671D" w:rsidP="00CD671D">
      <w:r w:rsidRPr="00CD671D">
        <w:rPr>
          <w:lang w:val="en-GB"/>
        </w:rPr>
        <w:t xml:space="preserve">The average overnight guest spends around €250 per day in Salzburg (excluding travel). </w:t>
      </w:r>
      <w:r w:rsidRPr="00CD671D">
        <w:t xml:space="preserve">This </w:t>
      </w:r>
      <w:proofErr w:type="spellStart"/>
      <w:r w:rsidRPr="00CD671D">
        <w:t>includes</w:t>
      </w:r>
      <w:proofErr w:type="spellEnd"/>
      <w:r w:rsidRPr="00CD671D">
        <w:t>:</w:t>
      </w:r>
    </w:p>
    <w:p w14:paraId="06238419" w14:textId="77777777" w:rsidR="00CD671D" w:rsidRPr="00CD671D" w:rsidRDefault="00CD671D" w:rsidP="00CD671D">
      <w:pPr>
        <w:numPr>
          <w:ilvl w:val="0"/>
          <w:numId w:val="18"/>
        </w:numPr>
        <w:spacing w:after="160" w:line="259" w:lineRule="auto"/>
      </w:pPr>
      <w:r w:rsidRPr="00CD671D">
        <w:t xml:space="preserve">€83 </w:t>
      </w:r>
      <w:proofErr w:type="spellStart"/>
      <w:r w:rsidRPr="00CD671D">
        <w:t>for</w:t>
      </w:r>
      <w:proofErr w:type="spellEnd"/>
      <w:r w:rsidRPr="00CD671D">
        <w:t xml:space="preserve"> </w:t>
      </w:r>
      <w:proofErr w:type="spellStart"/>
      <w:r w:rsidRPr="00CD671D">
        <w:t>accommodation</w:t>
      </w:r>
      <w:proofErr w:type="spellEnd"/>
    </w:p>
    <w:p w14:paraId="1B8F588C" w14:textId="77777777" w:rsidR="00CD671D" w:rsidRPr="00CD671D" w:rsidRDefault="00CD671D" w:rsidP="00CD671D">
      <w:pPr>
        <w:numPr>
          <w:ilvl w:val="0"/>
          <w:numId w:val="18"/>
        </w:numPr>
        <w:spacing w:after="160" w:line="259" w:lineRule="auto"/>
      </w:pPr>
      <w:r w:rsidRPr="00CD671D">
        <w:t xml:space="preserve">€37 </w:t>
      </w:r>
      <w:proofErr w:type="spellStart"/>
      <w:r w:rsidRPr="00CD671D">
        <w:t>for</w:t>
      </w:r>
      <w:proofErr w:type="spellEnd"/>
      <w:r w:rsidRPr="00CD671D">
        <w:t xml:space="preserve"> </w:t>
      </w:r>
      <w:proofErr w:type="spellStart"/>
      <w:r w:rsidRPr="00CD671D">
        <w:t>retail</w:t>
      </w:r>
      <w:proofErr w:type="spellEnd"/>
      <w:r w:rsidRPr="00CD671D">
        <w:t xml:space="preserve"> </w:t>
      </w:r>
      <w:proofErr w:type="spellStart"/>
      <w:r w:rsidRPr="00CD671D">
        <w:t>shopping</w:t>
      </w:r>
      <w:proofErr w:type="spellEnd"/>
    </w:p>
    <w:p w14:paraId="6544C5CE" w14:textId="77777777" w:rsidR="00CD671D" w:rsidRPr="00CD671D" w:rsidRDefault="00CD671D" w:rsidP="00CD671D">
      <w:pPr>
        <w:numPr>
          <w:ilvl w:val="0"/>
          <w:numId w:val="18"/>
        </w:numPr>
        <w:spacing w:after="160" w:line="259" w:lineRule="auto"/>
      </w:pPr>
      <w:r w:rsidRPr="00CD671D">
        <w:t xml:space="preserve">€36 </w:t>
      </w:r>
      <w:proofErr w:type="spellStart"/>
      <w:r w:rsidRPr="00CD671D">
        <w:t>for</w:t>
      </w:r>
      <w:proofErr w:type="spellEnd"/>
      <w:r w:rsidRPr="00CD671D">
        <w:t xml:space="preserve"> </w:t>
      </w:r>
      <w:proofErr w:type="spellStart"/>
      <w:r w:rsidRPr="00CD671D">
        <w:t>food</w:t>
      </w:r>
      <w:proofErr w:type="spellEnd"/>
      <w:r w:rsidRPr="00CD671D">
        <w:t xml:space="preserve"> and </w:t>
      </w:r>
      <w:proofErr w:type="spellStart"/>
      <w:r w:rsidRPr="00CD671D">
        <w:t>beverages</w:t>
      </w:r>
      <w:proofErr w:type="spellEnd"/>
    </w:p>
    <w:p w14:paraId="1A654C9A" w14:textId="77777777" w:rsidR="00CD671D" w:rsidRPr="00CD671D" w:rsidRDefault="00CD671D" w:rsidP="00CD671D">
      <w:pPr>
        <w:numPr>
          <w:ilvl w:val="0"/>
          <w:numId w:val="18"/>
        </w:numPr>
        <w:spacing w:after="160" w:line="259" w:lineRule="auto"/>
      </w:pPr>
      <w:r w:rsidRPr="00CD671D">
        <w:t xml:space="preserve">€19 </w:t>
      </w:r>
      <w:proofErr w:type="spellStart"/>
      <w:r w:rsidRPr="00CD671D">
        <w:t>for</w:t>
      </w:r>
      <w:proofErr w:type="spellEnd"/>
      <w:r w:rsidRPr="00CD671D">
        <w:t xml:space="preserve"> </w:t>
      </w:r>
      <w:proofErr w:type="spellStart"/>
      <w:r w:rsidRPr="00CD671D">
        <w:t>leisure</w:t>
      </w:r>
      <w:proofErr w:type="spellEnd"/>
      <w:r w:rsidRPr="00CD671D">
        <w:t xml:space="preserve">, </w:t>
      </w:r>
      <w:proofErr w:type="spellStart"/>
      <w:r w:rsidRPr="00CD671D">
        <w:t>culture</w:t>
      </w:r>
      <w:proofErr w:type="spellEnd"/>
      <w:r w:rsidRPr="00CD671D">
        <w:t xml:space="preserve">, and </w:t>
      </w:r>
      <w:proofErr w:type="spellStart"/>
      <w:r w:rsidRPr="00CD671D">
        <w:t>sports</w:t>
      </w:r>
      <w:proofErr w:type="spellEnd"/>
    </w:p>
    <w:p w14:paraId="3B385E7A" w14:textId="77777777" w:rsidR="00CD671D" w:rsidRPr="00CD671D" w:rsidRDefault="00CD671D" w:rsidP="00CD671D">
      <w:pPr>
        <w:numPr>
          <w:ilvl w:val="0"/>
          <w:numId w:val="18"/>
        </w:numPr>
        <w:spacing w:after="160" w:line="259" w:lineRule="auto"/>
        <w:rPr>
          <w:lang w:val="en-GB"/>
        </w:rPr>
      </w:pPr>
      <w:r w:rsidRPr="00CD671D">
        <w:rPr>
          <w:lang w:val="en-GB"/>
        </w:rPr>
        <w:t>The remainder is spent on transport and other expenses</w:t>
      </w:r>
    </w:p>
    <w:p w14:paraId="7C8D4070" w14:textId="77777777" w:rsidR="00CD671D" w:rsidRPr="00CD671D" w:rsidRDefault="00CD671D" w:rsidP="00CD671D">
      <w:pPr>
        <w:rPr>
          <w:lang w:val="en-GB"/>
        </w:rPr>
      </w:pPr>
      <w:r w:rsidRPr="00CD671D">
        <w:rPr>
          <w:lang w:val="en-GB"/>
        </w:rPr>
        <w:t xml:space="preserve">Salzburg is not only a tourism hub but also an important economic </w:t>
      </w:r>
      <w:proofErr w:type="spellStart"/>
      <w:r w:rsidRPr="00CD671D">
        <w:rPr>
          <w:lang w:val="en-GB"/>
        </w:rPr>
        <w:t>center</w:t>
      </w:r>
      <w:proofErr w:type="spellEnd"/>
      <w:r w:rsidRPr="00CD671D">
        <w:rPr>
          <w:lang w:val="en-GB"/>
        </w:rPr>
        <w:t xml:space="preserve">. Its economic influence extends beyond the province to </w:t>
      </w:r>
      <w:proofErr w:type="spellStart"/>
      <w:r w:rsidRPr="00CD671D">
        <w:rPr>
          <w:lang w:val="en-GB"/>
        </w:rPr>
        <w:t>neighboring</w:t>
      </w:r>
      <w:proofErr w:type="spellEnd"/>
      <w:r w:rsidRPr="00CD671D">
        <w:rPr>
          <w:lang w:val="en-GB"/>
        </w:rPr>
        <w:t xml:space="preserve"> Bavaria and parts of Upper Austria.</w:t>
      </w:r>
    </w:p>
    <w:p w14:paraId="344ADF67" w14:textId="6837D070" w:rsidR="00CD671D" w:rsidRPr="00CD671D" w:rsidRDefault="00CD671D" w:rsidP="00CD671D">
      <w:pPr>
        <w:rPr>
          <w:lang w:val="en-GB"/>
        </w:rPr>
      </w:pPr>
      <w:r w:rsidRPr="00CD671D">
        <w:rPr>
          <w:lang w:val="en-GB"/>
        </w:rPr>
        <w:t xml:space="preserve">Major companies headquartered or based in Salzburg include Red Bull GmbH, </w:t>
      </w:r>
      <w:proofErr w:type="spellStart"/>
      <w:r w:rsidRPr="00CD671D">
        <w:rPr>
          <w:lang w:val="en-GB"/>
        </w:rPr>
        <w:t>Palfinger</w:t>
      </w:r>
      <w:proofErr w:type="spellEnd"/>
      <w:r w:rsidRPr="00CD671D">
        <w:rPr>
          <w:lang w:val="en-GB"/>
        </w:rPr>
        <w:t xml:space="preserve"> AG, dm </w:t>
      </w:r>
      <w:proofErr w:type="spellStart"/>
      <w:r w:rsidRPr="00CD671D">
        <w:rPr>
          <w:lang w:val="en-GB"/>
        </w:rPr>
        <w:t>drogerie</w:t>
      </w:r>
      <w:proofErr w:type="spellEnd"/>
      <w:r w:rsidRPr="00CD671D">
        <w:rPr>
          <w:lang w:val="en-GB"/>
        </w:rPr>
        <w:t xml:space="preserve"> GmbH, Porsche Holding Salzburg, Spar Group Austria, Hofer AG, and Lidl GmbH. Renowned banks such as Bankhaus </w:t>
      </w:r>
      <w:proofErr w:type="spellStart"/>
      <w:r w:rsidRPr="00CD671D">
        <w:rPr>
          <w:lang w:val="en-GB"/>
        </w:rPr>
        <w:t>Spängler</w:t>
      </w:r>
      <w:proofErr w:type="spellEnd"/>
      <w:r w:rsidRPr="00CD671D">
        <w:rPr>
          <w:lang w:val="en-GB"/>
        </w:rPr>
        <w:t xml:space="preserve"> and </w:t>
      </w:r>
      <w:proofErr w:type="spellStart"/>
      <w:r w:rsidRPr="00CD671D">
        <w:rPr>
          <w:lang w:val="en-GB"/>
        </w:rPr>
        <w:t>Wüstenrot</w:t>
      </w:r>
      <w:proofErr w:type="spellEnd"/>
      <w:r w:rsidRPr="00CD671D">
        <w:rPr>
          <w:lang w:val="en-GB"/>
        </w:rPr>
        <w:t>, as well as numerous large logistics companies, also use Salzburg as a central hub.</w:t>
      </w:r>
    </w:p>
    <w:p w14:paraId="37694763" w14:textId="77777777" w:rsidR="00CD671D" w:rsidRPr="00CD671D" w:rsidRDefault="00CD671D" w:rsidP="00CD671D">
      <w:pPr>
        <w:rPr>
          <w:b/>
          <w:bCs/>
          <w:lang w:val="en-GB"/>
        </w:rPr>
      </w:pPr>
      <w:r w:rsidRPr="00CD671D">
        <w:rPr>
          <w:b/>
          <w:bCs/>
          <w:lang w:val="en-GB"/>
        </w:rPr>
        <w:lastRenderedPageBreak/>
        <w:t>Gastronomy</w:t>
      </w:r>
    </w:p>
    <w:p w14:paraId="5CE47A0E" w14:textId="77777777" w:rsidR="00CD671D" w:rsidRPr="00CD671D" w:rsidRDefault="00CD671D" w:rsidP="00CD671D">
      <w:pPr>
        <w:rPr>
          <w:lang w:val="en-GB"/>
        </w:rPr>
      </w:pPr>
      <w:r w:rsidRPr="00CD671D">
        <w:rPr>
          <w:lang w:val="en-GB"/>
        </w:rPr>
        <w:t>Salzburg has a total of 534 gastronomic establishments (as of February 11, 2026), including:</w:t>
      </w:r>
    </w:p>
    <w:p w14:paraId="442B43CD" w14:textId="77777777" w:rsidR="00CD671D" w:rsidRPr="00CD671D" w:rsidRDefault="00CD671D" w:rsidP="00CD671D">
      <w:pPr>
        <w:numPr>
          <w:ilvl w:val="0"/>
          <w:numId w:val="19"/>
        </w:numPr>
        <w:spacing w:after="160" w:line="259" w:lineRule="auto"/>
      </w:pPr>
      <w:r w:rsidRPr="00CD671D">
        <w:t xml:space="preserve">152 </w:t>
      </w:r>
      <w:proofErr w:type="spellStart"/>
      <w:r w:rsidRPr="00CD671D">
        <w:t>cafés</w:t>
      </w:r>
      <w:proofErr w:type="spellEnd"/>
      <w:r w:rsidRPr="00CD671D">
        <w:t xml:space="preserve"> </w:t>
      </w:r>
      <w:proofErr w:type="spellStart"/>
      <w:r w:rsidRPr="00CD671D">
        <w:t>or</w:t>
      </w:r>
      <w:proofErr w:type="spellEnd"/>
      <w:r w:rsidRPr="00CD671D">
        <w:t xml:space="preserve"> café-restaurants</w:t>
      </w:r>
    </w:p>
    <w:p w14:paraId="4AD4EBB6" w14:textId="77777777" w:rsidR="00CD671D" w:rsidRPr="00CD671D" w:rsidRDefault="00CD671D" w:rsidP="00CD671D">
      <w:pPr>
        <w:numPr>
          <w:ilvl w:val="0"/>
          <w:numId w:val="19"/>
        </w:numPr>
        <w:spacing w:after="160" w:line="259" w:lineRule="auto"/>
      </w:pPr>
      <w:r w:rsidRPr="00CD671D">
        <w:t xml:space="preserve">37 </w:t>
      </w:r>
      <w:proofErr w:type="spellStart"/>
      <w:r w:rsidRPr="00CD671D">
        <w:t>inns</w:t>
      </w:r>
      <w:proofErr w:type="spellEnd"/>
    </w:p>
    <w:p w14:paraId="65636F98" w14:textId="77777777" w:rsidR="00CD671D" w:rsidRPr="00CD671D" w:rsidRDefault="00CD671D" w:rsidP="00CD671D">
      <w:pPr>
        <w:numPr>
          <w:ilvl w:val="0"/>
          <w:numId w:val="19"/>
        </w:numPr>
        <w:spacing w:after="160" w:line="259" w:lineRule="auto"/>
      </w:pPr>
      <w:r w:rsidRPr="00CD671D">
        <w:t xml:space="preserve">261 </w:t>
      </w:r>
      <w:proofErr w:type="spellStart"/>
      <w:r w:rsidRPr="00CD671D">
        <w:t>restaurants</w:t>
      </w:r>
      <w:proofErr w:type="spellEnd"/>
    </w:p>
    <w:p w14:paraId="32BD0930" w14:textId="77777777" w:rsidR="00CD671D" w:rsidRPr="00CD671D" w:rsidRDefault="00CD671D" w:rsidP="00CD671D">
      <w:pPr>
        <w:numPr>
          <w:ilvl w:val="0"/>
          <w:numId w:val="19"/>
        </w:numPr>
        <w:spacing w:after="160" w:line="259" w:lineRule="auto"/>
      </w:pPr>
      <w:r w:rsidRPr="00CD671D">
        <w:t xml:space="preserve">84 </w:t>
      </w:r>
      <w:proofErr w:type="spellStart"/>
      <w:r w:rsidRPr="00CD671D">
        <w:t>bars</w:t>
      </w:r>
      <w:proofErr w:type="spellEnd"/>
      <w:r w:rsidRPr="00CD671D">
        <w:t xml:space="preserve"> and </w:t>
      </w:r>
      <w:proofErr w:type="spellStart"/>
      <w:r w:rsidRPr="00CD671D">
        <w:t>nightlife</w:t>
      </w:r>
      <w:proofErr w:type="spellEnd"/>
      <w:r w:rsidRPr="00CD671D">
        <w:t xml:space="preserve"> </w:t>
      </w:r>
      <w:proofErr w:type="spellStart"/>
      <w:r w:rsidRPr="00CD671D">
        <w:t>venues</w:t>
      </w:r>
      <w:proofErr w:type="spellEnd"/>
    </w:p>
    <w:p w14:paraId="191650A7" w14:textId="77777777" w:rsidR="00CD671D" w:rsidRPr="00CD671D" w:rsidRDefault="00CD671D" w:rsidP="00CD671D">
      <w:pPr>
        <w:rPr>
          <w:lang w:val="en-GB"/>
        </w:rPr>
      </w:pPr>
      <w:r w:rsidRPr="00CD671D">
        <w:rPr>
          <w:lang w:val="en-GB"/>
        </w:rPr>
        <w:t>In 2025, the prestigious Gault Millau guide awarded toques to 30 restaurants in the city and surrounding area:</w:t>
      </w:r>
    </w:p>
    <w:p w14:paraId="0820E4D2" w14:textId="77777777" w:rsidR="00CD671D" w:rsidRPr="00CD671D" w:rsidRDefault="00CD671D" w:rsidP="00CD671D">
      <w:pPr>
        <w:numPr>
          <w:ilvl w:val="0"/>
          <w:numId w:val="20"/>
        </w:numPr>
        <w:spacing w:after="160" w:line="259" w:lineRule="auto"/>
        <w:rPr>
          <w:lang w:val="en-GB"/>
        </w:rPr>
      </w:pPr>
      <w:r w:rsidRPr="00CD671D">
        <w:rPr>
          <w:lang w:val="en-GB"/>
        </w:rPr>
        <w:t>1 restaurant received the top rating of five toques</w:t>
      </w:r>
    </w:p>
    <w:p w14:paraId="70F71112" w14:textId="77777777" w:rsidR="00CD671D" w:rsidRPr="00CD671D" w:rsidRDefault="00CD671D" w:rsidP="00CD671D">
      <w:pPr>
        <w:numPr>
          <w:ilvl w:val="0"/>
          <w:numId w:val="20"/>
        </w:numPr>
        <w:spacing w:after="160" w:line="259" w:lineRule="auto"/>
      </w:pPr>
      <w:r w:rsidRPr="00CD671D">
        <w:t xml:space="preserve">3 </w:t>
      </w:r>
      <w:proofErr w:type="spellStart"/>
      <w:r w:rsidRPr="00CD671D">
        <w:t>restaurants</w:t>
      </w:r>
      <w:proofErr w:type="spellEnd"/>
      <w:r w:rsidRPr="00CD671D">
        <w:t xml:space="preserve"> </w:t>
      </w:r>
      <w:proofErr w:type="spellStart"/>
      <w:r w:rsidRPr="00CD671D">
        <w:t>received</w:t>
      </w:r>
      <w:proofErr w:type="spellEnd"/>
      <w:r w:rsidRPr="00CD671D">
        <w:t xml:space="preserve"> </w:t>
      </w:r>
      <w:proofErr w:type="spellStart"/>
      <w:r w:rsidRPr="00CD671D">
        <w:t>four</w:t>
      </w:r>
      <w:proofErr w:type="spellEnd"/>
      <w:r w:rsidRPr="00CD671D">
        <w:t xml:space="preserve"> </w:t>
      </w:r>
      <w:proofErr w:type="spellStart"/>
      <w:r w:rsidRPr="00CD671D">
        <w:t>toques</w:t>
      </w:r>
      <w:proofErr w:type="spellEnd"/>
    </w:p>
    <w:p w14:paraId="5156D600" w14:textId="77777777" w:rsidR="00CD671D" w:rsidRPr="00CD671D" w:rsidRDefault="00CD671D" w:rsidP="00CD671D">
      <w:pPr>
        <w:numPr>
          <w:ilvl w:val="0"/>
          <w:numId w:val="20"/>
        </w:numPr>
        <w:spacing w:after="160" w:line="259" w:lineRule="auto"/>
      </w:pPr>
      <w:r w:rsidRPr="00CD671D">
        <w:t xml:space="preserve">4 </w:t>
      </w:r>
      <w:proofErr w:type="spellStart"/>
      <w:r w:rsidRPr="00CD671D">
        <w:t>restaurants</w:t>
      </w:r>
      <w:proofErr w:type="spellEnd"/>
      <w:r w:rsidRPr="00CD671D">
        <w:t xml:space="preserve"> </w:t>
      </w:r>
      <w:proofErr w:type="spellStart"/>
      <w:r w:rsidRPr="00CD671D">
        <w:t>received</w:t>
      </w:r>
      <w:proofErr w:type="spellEnd"/>
      <w:r w:rsidRPr="00CD671D">
        <w:t xml:space="preserve"> </w:t>
      </w:r>
      <w:proofErr w:type="spellStart"/>
      <w:r w:rsidRPr="00CD671D">
        <w:t>three</w:t>
      </w:r>
      <w:proofErr w:type="spellEnd"/>
      <w:r w:rsidRPr="00CD671D">
        <w:t xml:space="preserve"> </w:t>
      </w:r>
      <w:proofErr w:type="spellStart"/>
      <w:r w:rsidRPr="00CD671D">
        <w:t>toques</w:t>
      </w:r>
      <w:proofErr w:type="spellEnd"/>
    </w:p>
    <w:p w14:paraId="0B5C9E96" w14:textId="77777777" w:rsidR="00CD671D" w:rsidRPr="00CD671D" w:rsidRDefault="00CD671D" w:rsidP="00CD671D">
      <w:pPr>
        <w:numPr>
          <w:ilvl w:val="0"/>
          <w:numId w:val="20"/>
        </w:numPr>
        <w:spacing w:after="160" w:line="259" w:lineRule="auto"/>
      </w:pPr>
      <w:r w:rsidRPr="00CD671D">
        <w:t xml:space="preserve">11 </w:t>
      </w:r>
      <w:proofErr w:type="spellStart"/>
      <w:r w:rsidRPr="00CD671D">
        <w:t>restaurants</w:t>
      </w:r>
      <w:proofErr w:type="spellEnd"/>
      <w:r w:rsidRPr="00CD671D">
        <w:t xml:space="preserve"> </w:t>
      </w:r>
      <w:proofErr w:type="spellStart"/>
      <w:r w:rsidRPr="00CD671D">
        <w:t>received</w:t>
      </w:r>
      <w:proofErr w:type="spellEnd"/>
      <w:r w:rsidRPr="00CD671D">
        <w:t xml:space="preserve"> </w:t>
      </w:r>
      <w:proofErr w:type="spellStart"/>
      <w:r w:rsidRPr="00CD671D">
        <w:t>two</w:t>
      </w:r>
      <w:proofErr w:type="spellEnd"/>
      <w:r w:rsidRPr="00CD671D">
        <w:t xml:space="preserve"> </w:t>
      </w:r>
      <w:proofErr w:type="spellStart"/>
      <w:r w:rsidRPr="00CD671D">
        <w:t>toques</w:t>
      </w:r>
      <w:proofErr w:type="spellEnd"/>
    </w:p>
    <w:p w14:paraId="7B3C9922" w14:textId="77777777" w:rsidR="00CD671D" w:rsidRPr="00CD671D" w:rsidRDefault="00CD671D" w:rsidP="00CD671D">
      <w:pPr>
        <w:numPr>
          <w:ilvl w:val="0"/>
          <w:numId w:val="20"/>
        </w:numPr>
        <w:spacing w:after="160" w:line="259" w:lineRule="auto"/>
      </w:pPr>
      <w:r w:rsidRPr="00CD671D">
        <w:t xml:space="preserve">11 </w:t>
      </w:r>
      <w:proofErr w:type="spellStart"/>
      <w:r w:rsidRPr="00CD671D">
        <w:t>restaurants</w:t>
      </w:r>
      <w:proofErr w:type="spellEnd"/>
      <w:r w:rsidRPr="00CD671D">
        <w:t xml:space="preserve"> </w:t>
      </w:r>
      <w:proofErr w:type="spellStart"/>
      <w:r w:rsidRPr="00CD671D">
        <w:t>received</w:t>
      </w:r>
      <w:proofErr w:type="spellEnd"/>
      <w:r w:rsidRPr="00CD671D">
        <w:t xml:space="preserve"> </w:t>
      </w:r>
      <w:proofErr w:type="spellStart"/>
      <w:r w:rsidRPr="00CD671D">
        <w:t>one</w:t>
      </w:r>
      <w:proofErr w:type="spellEnd"/>
      <w:r w:rsidRPr="00CD671D">
        <w:t xml:space="preserve"> </w:t>
      </w:r>
      <w:proofErr w:type="spellStart"/>
      <w:r w:rsidRPr="00CD671D">
        <w:t>toque</w:t>
      </w:r>
      <w:proofErr w:type="spellEnd"/>
    </w:p>
    <w:p w14:paraId="5ECBB9D7" w14:textId="77777777" w:rsidR="00CD671D" w:rsidRPr="00CD671D" w:rsidRDefault="00CD671D" w:rsidP="00CD671D"/>
    <w:p w14:paraId="48A55D20" w14:textId="77777777" w:rsidR="00CD671D" w:rsidRPr="00CD671D" w:rsidRDefault="00CD671D" w:rsidP="00CD671D">
      <w:pPr>
        <w:rPr>
          <w:b/>
          <w:bCs/>
          <w:lang w:val="en-GB"/>
        </w:rPr>
      </w:pPr>
      <w:r w:rsidRPr="00CD671D">
        <w:rPr>
          <w:b/>
          <w:bCs/>
          <w:lang w:val="en-GB"/>
        </w:rPr>
        <w:t>Visitor Numbers for Major Attractions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65"/>
        <w:gridCol w:w="1039"/>
        <w:gridCol w:w="1064"/>
      </w:tblGrid>
      <w:tr w:rsidR="00CD671D" w:rsidRPr="00CD671D" w14:paraId="20079D7E" w14:textId="77777777" w:rsidTr="00C51812">
        <w:trPr>
          <w:tblHeader/>
          <w:tblCellSpacing w:w="15" w:type="dxa"/>
        </w:trPr>
        <w:tc>
          <w:tcPr>
            <w:tcW w:w="0" w:type="auto"/>
            <w:vAlign w:val="center"/>
            <w:hideMark/>
          </w:tcPr>
          <w:p w14:paraId="0AF25D4F" w14:textId="77777777" w:rsidR="00CD671D" w:rsidRPr="00CD671D" w:rsidRDefault="00CD671D" w:rsidP="00CD0ABE">
            <w:pPr>
              <w:rPr>
                <w:b/>
                <w:bCs/>
              </w:rPr>
            </w:pPr>
            <w:proofErr w:type="spellStart"/>
            <w:r w:rsidRPr="00CD671D">
              <w:rPr>
                <w:b/>
                <w:bCs/>
              </w:rPr>
              <w:t>Attraction</w:t>
            </w:r>
            <w:proofErr w:type="spellEnd"/>
          </w:p>
        </w:tc>
        <w:tc>
          <w:tcPr>
            <w:tcW w:w="0" w:type="auto"/>
            <w:vAlign w:val="center"/>
            <w:hideMark/>
          </w:tcPr>
          <w:p w14:paraId="0EF25A85" w14:textId="77777777" w:rsidR="00CD671D" w:rsidRPr="00CD671D" w:rsidRDefault="00CD671D" w:rsidP="00CD0ABE">
            <w:pPr>
              <w:rPr>
                <w:b/>
                <w:bCs/>
              </w:rPr>
            </w:pPr>
            <w:r w:rsidRPr="00CD671D">
              <w:rPr>
                <w:b/>
                <w:bCs/>
              </w:rPr>
              <w:t>2025</w:t>
            </w:r>
          </w:p>
        </w:tc>
        <w:tc>
          <w:tcPr>
            <w:tcW w:w="0" w:type="auto"/>
            <w:vAlign w:val="center"/>
            <w:hideMark/>
          </w:tcPr>
          <w:p w14:paraId="02876A5A" w14:textId="77777777" w:rsidR="00CD671D" w:rsidRPr="00CD671D" w:rsidRDefault="00CD671D" w:rsidP="00CD0ABE">
            <w:pPr>
              <w:rPr>
                <w:b/>
                <w:bCs/>
              </w:rPr>
            </w:pPr>
            <w:r w:rsidRPr="00CD671D">
              <w:rPr>
                <w:b/>
                <w:bCs/>
              </w:rPr>
              <w:t>2024</w:t>
            </w:r>
          </w:p>
        </w:tc>
      </w:tr>
      <w:tr w:rsidR="00CD671D" w:rsidRPr="00CD671D" w14:paraId="73D54335" w14:textId="77777777" w:rsidTr="00C51812">
        <w:trPr>
          <w:tblCellSpacing w:w="15" w:type="dxa"/>
        </w:trPr>
        <w:tc>
          <w:tcPr>
            <w:tcW w:w="0" w:type="auto"/>
            <w:vAlign w:val="center"/>
            <w:hideMark/>
          </w:tcPr>
          <w:p w14:paraId="5F31B75A" w14:textId="77777777" w:rsidR="00CD671D" w:rsidRPr="00CD671D" w:rsidRDefault="00CD671D" w:rsidP="00CD0ABE">
            <w:r w:rsidRPr="00CD671D">
              <w:t>Fortress Hohensalzburg</w:t>
            </w:r>
          </w:p>
        </w:tc>
        <w:tc>
          <w:tcPr>
            <w:tcW w:w="0" w:type="auto"/>
            <w:vAlign w:val="center"/>
            <w:hideMark/>
          </w:tcPr>
          <w:p w14:paraId="1153DA9B" w14:textId="77777777" w:rsidR="00CD671D" w:rsidRPr="00CD671D" w:rsidRDefault="00CD671D" w:rsidP="00CD0ABE">
            <w:r w:rsidRPr="00CD671D">
              <w:t>1,432,181</w:t>
            </w:r>
          </w:p>
        </w:tc>
        <w:tc>
          <w:tcPr>
            <w:tcW w:w="0" w:type="auto"/>
            <w:vAlign w:val="center"/>
            <w:hideMark/>
          </w:tcPr>
          <w:p w14:paraId="58F616CB" w14:textId="77777777" w:rsidR="00CD671D" w:rsidRPr="00CD671D" w:rsidRDefault="00CD671D" w:rsidP="00CD0ABE">
            <w:r w:rsidRPr="00CD671D">
              <w:t>1,411,543</w:t>
            </w:r>
          </w:p>
        </w:tc>
      </w:tr>
      <w:tr w:rsidR="00CD671D" w:rsidRPr="00CD671D" w14:paraId="1A840B35" w14:textId="77777777" w:rsidTr="00C51812">
        <w:trPr>
          <w:tblCellSpacing w:w="15" w:type="dxa"/>
        </w:trPr>
        <w:tc>
          <w:tcPr>
            <w:tcW w:w="0" w:type="auto"/>
            <w:vAlign w:val="center"/>
            <w:hideMark/>
          </w:tcPr>
          <w:p w14:paraId="578043CF" w14:textId="77777777" w:rsidR="00CD671D" w:rsidRPr="00CD671D" w:rsidRDefault="00CD671D" w:rsidP="00CD0ABE">
            <w:r w:rsidRPr="00CD671D">
              <w:t>Fortress Museum</w:t>
            </w:r>
          </w:p>
        </w:tc>
        <w:tc>
          <w:tcPr>
            <w:tcW w:w="0" w:type="auto"/>
            <w:vAlign w:val="center"/>
            <w:hideMark/>
          </w:tcPr>
          <w:p w14:paraId="6EB64A44" w14:textId="77777777" w:rsidR="00CD671D" w:rsidRPr="00CD671D" w:rsidRDefault="00CD671D" w:rsidP="00CD0ABE">
            <w:r w:rsidRPr="00CD671D">
              <w:t>720,851</w:t>
            </w:r>
          </w:p>
        </w:tc>
        <w:tc>
          <w:tcPr>
            <w:tcW w:w="0" w:type="auto"/>
            <w:vAlign w:val="center"/>
            <w:hideMark/>
          </w:tcPr>
          <w:p w14:paraId="624C0C63" w14:textId="77777777" w:rsidR="00CD671D" w:rsidRPr="00CD671D" w:rsidRDefault="00CD671D" w:rsidP="00CD0ABE">
            <w:r w:rsidRPr="00CD671D">
              <w:t>718,787</w:t>
            </w:r>
          </w:p>
        </w:tc>
      </w:tr>
      <w:tr w:rsidR="00CD671D" w:rsidRPr="00CD671D" w14:paraId="629B18EC" w14:textId="77777777" w:rsidTr="00C51812">
        <w:trPr>
          <w:tblCellSpacing w:w="15" w:type="dxa"/>
        </w:trPr>
        <w:tc>
          <w:tcPr>
            <w:tcW w:w="0" w:type="auto"/>
            <w:vAlign w:val="center"/>
            <w:hideMark/>
          </w:tcPr>
          <w:p w14:paraId="56AEB08B" w14:textId="77777777" w:rsidR="00CD671D" w:rsidRPr="00CD671D" w:rsidRDefault="00CD671D" w:rsidP="00CD0ABE">
            <w:proofErr w:type="spellStart"/>
            <w:r w:rsidRPr="00CD671D">
              <w:t>Mozart’s</w:t>
            </w:r>
            <w:proofErr w:type="spellEnd"/>
            <w:r w:rsidRPr="00CD671D">
              <w:t xml:space="preserve"> </w:t>
            </w:r>
            <w:proofErr w:type="spellStart"/>
            <w:r w:rsidRPr="00CD671D">
              <w:t>Birthplace</w:t>
            </w:r>
            <w:proofErr w:type="spellEnd"/>
            <w:r w:rsidRPr="00CD671D">
              <w:t xml:space="preserve"> &amp; Residence</w:t>
            </w:r>
          </w:p>
        </w:tc>
        <w:tc>
          <w:tcPr>
            <w:tcW w:w="0" w:type="auto"/>
            <w:vAlign w:val="center"/>
            <w:hideMark/>
          </w:tcPr>
          <w:p w14:paraId="06B7987F" w14:textId="77777777" w:rsidR="00CD671D" w:rsidRPr="00CD671D" w:rsidRDefault="00CD671D" w:rsidP="00CD0ABE">
            <w:r w:rsidRPr="00CD671D">
              <w:t>560,000</w:t>
            </w:r>
          </w:p>
        </w:tc>
        <w:tc>
          <w:tcPr>
            <w:tcW w:w="0" w:type="auto"/>
            <w:vAlign w:val="center"/>
            <w:hideMark/>
          </w:tcPr>
          <w:p w14:paraId="4C61E500" w14:textId="77777777" w:rsidR="00CD671D" w:rsidRPr="00CD671D" w:rsidRDefault="00CD671D" w:rsidP="00CD0ABE">
            <w:r w:rsidRPr="00CD671D">
              <w:t>555,351</w:t>
            </w:r>
          </w:p>
        </w:tc>
      </w:tr>
      <w:tr w:rsidR="00CD671D" w:rsidRPr="00CD671D" w14:paraId="4EC5B28B" w14:textId="77777777" w:rsidTr="00C51812">
        <w:trPr>
          <w:tblCellSpacing w:w="15" w:type="dxa"/>
        </w:trPr>
        <w:tc>
          <w:tcPr>
            <w:tcW w:w="0" w:type="auto"/>
            <w:vAlign w:val="center"/>
            <w:hideMark/>
          </w:tcPr>
          <w:p w14:paraId="73181376" w14:textId="77777777" w:rsidR="00CD671D" w:rsidRPr="00CD671D" w:rsidRDefault="00CD671D" w:rsidP="00CD0ABE">
            <w:r w:rsidRPr="00CD671D">
              <w:t>Salzburg Zoo</w:t>
            </w:r>
          </w:p>
        </w:tc>
        <w:tc>
          <w:tcPr>
            <w:tcW w:w="0" w:type="auto"/>
            <w:vAlign w:val="center"/>
            <w:hideMark/>
          </w:tcPr>
          <w:p w14:paraId="7DAF8E20" w14:textId="77777777" w:rsidR="00CD671D" w:rsidRPr="00CD671D" w:rsidRDefault="00CD671D" w:rsidP="00CD0ABE">
            <w:r w:rsidRPr="00CD671D">
              <w:t>388,993</w:t>
            </w:r>
          </w:p>
        </w:tc>
        <w:tc>
          <w:tcPr>
            <w:tcW w:w="0" w:type="auto"/>
            <w:vAlign w:val="center"/>
            <w:hideMark/>
          </w:tcPr>
          <w:p w14:paraId="52EC4FFE" w14:textId="77777777" w:rsidR="00CD671D" w:rsidRPr="00CD671D" w:rsidRDefault="00CD671D" w:rsidP="00CD0ABE">
            <w:r w:rsidRPr="00CD671D">
              <w:t>413,600</w:t>
            </w:r>
          </w:p>
        </w:tc>
      </w:tr>
      <w:tr w:rsidR="00CD671D" w:rsidRPr="00CD671D" w14:paraId="43B0D9E8" w14:textId="77777777" w:rsidTr="00C51812">
        <w:trPr>
          <w:tblCellSpacing w:w="15" w:type="dxa"/>
        </w:trPr>
        <w:tc>
          <w:tcPr>
            <w:tcW w:w="0" w:type="auto"/>
            <w:vAlign w:val="center"/>
            <w:hideMark/>
          </w:tcPr>
          <w:p w14:paraId="115F4E39" w14:textId="77777777" w:rsidR="00CD671D" w:rsidRPr="00CD671D" w:rsidRDefault="00CD671D" w:rsidP="00CD0ABE">
            <w:r w:rsidRPr="00CD671D">
              <w:t xml:space="preserve">House </w:t>
            </w:r>
            <w:proofErr w:type="spellStart"/>
            <w:r w:rsidRPr="00CD671D">
              <w:t>of</w:t>
            </w:r>
            <w:proofErr w:type="spellEnd"/>
            <w:r w:rsidRPr="00CD671D">
              <w:t xml:space="preserve"> Nature</w:t>
            </w:r>
          </w:p>
        </w:tc>
        <w:tc>
          <w:tcPr>
            <w:tcW w:w="0" w:type="auto"/>
            <w:vAlign w:val="center"/>
            <w:hideMark/>
          </w:tcPr>
          <w:p w14:paraId="10489E60" w14:textId="77777777" w:rsidR="00CD671D" w:rsidRPr="00CD671D" w:rsidRDefault="00CD671D" w:rsidP="00CD0ABE">
            <w:r w:rsidRPr="00CD671D">
              <w:t>371,948</w:t>
            </w:r>
          </w:p>
        </w:tc>
        <w:tc>
          <w:tcPr>
            <w:tcW w:w="0" w:type="auto"/>
            <w:vAlign w:val="center"/>
            <w:hideMark/>
          </w:tcPr>
          <w:p w14:paraId="4CF08F28" w14:textId="77777777" w:rsidR="00CD671D" w:rsidRPr="00CD671D" w:rsidRDefault="00CD671D" w:rsidP="00CD0ABE">
            <w:r w:rsidRPr="00CD671D">
              <w:t>348,348</w:t>
            </w:r>
          </w:p>
        </w:tc>
      </w:tr>
      <w:tr w:rsidR="00CD671D" w:rsidRPr="00CD671D" w14:paraId="0EC3A5B7" w14:textId="77777777" w:rsidTr="00C51812">
        <w:trPr>
          <w:tblCellSpacing w:w="15" w:type="dxa"/>
        </w:trPr>
        <w:tc>
          <w:tcPr>
            <w:tcW w:w="0" w:type="auto"/>
            <w:vAlign w:val="center"/>
            <w:hideMark/>
          </w:tcPr>
          <w:p w14:paraId="72A47417" w14:textId="77777777" w:rsidR="00CD671D" w:rsidRPr="00CD671D" w:rsidRDefault="00CD671D" w:rsidP="00CD0ABE">
            <w:r w:rsidRPr="00CD671D">
              <w:t>Untersberg Cable Car</w:t>
            </w:r>
          </w:p>
        </w:tc>
        <w:tc>
          <w:tcPr>
            <w:tcW w:w="0" w:type="auto"/>
            <w:vAlign w:val="center"/>
            <w:hideMark/>
          </w:tcPr>
          <w:p w14:paraId="2A069C41" w14:textId="77777777" w:rsidR="00CD671D" w:rsidRPr="00CD671D" w:rsidRDefault="00CD671D" w:rsidP="00CD0ABE">
            <w:r w:rsidRPr="00CD671D">
              <w:t>261,231</w:t>
            </w:r>
          </w:p>
        </w:tc>
        <w:tc>
          <w:tcPr>
            <w:tcW w:w="0" w:type="auto"/>
            <w:vAlign w:val="center"/>
            <w:hideMark/>
          </w:tcPr>
          <w:p w14:paraId="5AA533DE" w14:textId="77777777" w:rsidR="00CD671D" w:rsidRPr="00CD671D" w:rsidRDefault="00CD671D" w:rsidP="00CD0ABE">
            <w:r w:rsidRPr="00CD671D">
              <w:t>282,092</w:t>
            </w:r>
          </w:p>
        </w:tc>
      </w:tr>
      <w:tr w:rsidR="00CD671D" w:rsidRPr="00CD671D" w14:paraId="1FA651DC" w14:textId="77777777" w:rsidTr="00C51812">
        <w:trPr>
          <w:tblCellSpacing w:w="15" w:type="dxa"/>
        </w:trPr>
        <w:tc>
          <w:tcPr>
            <w:tcW w:w="0" w:type="auto"/>
            <w:vAlign w:val="center"/>
            <w:hideMark/>
          </w:tcPr>
          <w:p w14:paraId="02B91DB3" w14:textId="77777777" w:rsidR="00CD671D" w:rsidRPr="00CD671D" w:rsidRDefault="00CD671D" w:rsidP="00CD0ABE">
            <w:r w:rsidRPr="00CD671D">
              <w:t>Hellbrunn Palace &amp; Fountains</w:t>
            </w:r>
          </w:p>
        </w:tc>
        <w:tc>
          <w:tcPr>
            <w:tcW w:w="0" w:type="auto"/>
            <w:vAlign w:val="center"/>
            <w:hideMark/>
          </w:tcPr>
          <w:p w14:paraId="12B502B2" w14:textId="77777777" w:rsidR="00CD671D" w:rsidRPr="00CD671D" w:rsidRDefault="00CD671D" w:rsidP="00CD0ABE">
            <w:r w:rsidRPr="00CD671D">
              <w:t>207,494</w:t>
            </w:r>
          </w:p>
        </w:tc>
        <w:tc>
          <w:tcPr>
            <w:tcW w:w="0" w:type="auto"/>
            <w:vAlign w:val="center"/>
            <w:hideMark/>
          </w:tcPr>
          <w:p w14:paraId="45350FA7" w14:textId="77777777" w:rsidR="00CD671D" w:rsidRPr="00CD671D" w:rsidRDefault="00CD671D" w:rsidP="00CD0ABE">
            <w:r w:rsidRPr="00CD671D">
              <w:t>227,446</w:t>
            </w:r>
          </w:p>
        </w:tc>
      </w:tr>
      <w:tr w:rsidR="00CD671D" w:rsidRPr="00CD671D" w14:paraId="322547B7" w14:textId="77777777" w:rsidTr="00C51812">
        <w:trPr>
          <w:tblCellSpacing w:w="15" w:type="dxa"/>
        </w:trPr>
        <w:tc>
          <w:tcPr>
            <w:tcW w:w="0" w:type="auto"/>
            <w:vAlign w:val="center"/>
            <w:hideMark/>
          </w:tcPr>
          <w:p w14:paraId="4A9F36BE" w14:textId="77777777" w:rsidR="00CD671D" w:rsidRPr="00CD671D" w:rsidRDefault="00CD671D" w:rsidP="00CD0ABE">
            <w:proofErr w:type="spellStart"/>
            <w:r w:rsidRPr="00CD671D">
              <w:t>DomQuartier</w:t>
            </w:r>
            <w:proofErr w:type="spellEnd"/>
          </w:p>
        </w:tc>
        <w:tc>
          <w:tcPr>
            <w:tcW w:w="0" w:type="auto"/>
            <w:vAlign w:val="center"/>
            <w:hideMark/>
          </w:tcPr>
          <w:p w14:paraId="5903FE59" w14:textId="77777777" w:rsidR="00CD671D" w:rsidRPr="00CD671D" w:rsidRDefault="00CD671D" w:rsidP="00CD0ABE">
            <w:r w:rsidRPr="00CD671D">
              <w:t>134,418</w:t>
            </w:r>
          </w:p>
        </w:tc>
        <w:tc>
          <w:tcPr>
            <w:tcW w:w="0" w:type="auto"/>
            <w:vAlign w:val="center"/>
            <w:hideMark/>
          </w:tcPr>
          <w:p w14:paraId="094188AF" w14:textId="77777777" w:rsidR="00CD671D" w:rsidRPr="00CD671D" w:rsidRDefault="00CD671D" w:rsidP="00CD0ABE">
            <w:r w:rsidRPr="00CD671D">
              <w:t>145,173</w:t>
            </w:r>
          </w:p>
        </w:tc>
      </w:tr>
      <w:tr w:rsidR="00CD671D" w:rsidRPr="00CD671D" w14:paraId="5A5139A1" w14:textId="77777777" w:rsidTr="00C51812">
        <w:trPr>
          <w:tblCellSpacing w:w="15" w:type="dxa"/>
        </w:trPr>
        <w:tc>
          <w:tcPr>
            <w:tcW w:w="0" w:type="auto"/>
            <w:vAlign w:val="center"/>
            <w:hideMark/>
          </w:tcPr>
          <w:p w14:paraId="5B3CFC6A" w14:textId="77777777" w:rsidR="00CD671D" w:rsidRPr="00CD671D" w:rsidRDefault="00CD671D" w:rsidP="00CD0ABE">
            <w:r w:rsidRPr="00CD671D">
              <w:t>Toy Museum</w:t>
            </w:r>
          </w:p>
        </w:tc>
        <w:tc>
          <w:tcPr>
            <w:tcW w:w="0" w:type="auto"/>
            <w:vAlign w:val="center"/>
            <w:hideMark/>
          </w:tcPr>
          <w:p w14:paraId="4DAC4C8B" w14:textId="77777777" w:rsidR="00CD671D" w:rsidRPr="00CD671D" w:rsidRDefault="00CD671D" w:rsidP="00CD0ABE">
            <w:r w:rsidRPr="00CD671D">
              <w:t>112,698</w:t>
            </w:r>
          </w:p>
        </w:tc>
        <w:tc>
          <w:tcPr>
            <w:tcW w:w="0" w:type="auto"/>
            <w:vAlign w:val="center"/>
            <w:hideMark/>
          </w:tcPr>
          <w:p w14:paraId="660148C2" w14:textId="77777777" w:rsidR="00CD671D" w:rsidRPr="00CD671D" w:rsidRDefault="00CD671D" w:rsidP="00CD0ABE">
            <w:r w:rsidRPr="00CD671D">
              <w:t>108,304</w:t>
            </w:r>
          </w:p>
        </w:tc>
      </w:tr>
      <w:tr w:rsidR="00CD671D" w:rsidRPr="00CD671D" w14:paraId="2B385175" w14:textId="77777777" w:rsidTr="00C51812">
        <w:trPr>
          <w:tblCellSpacing w:w="15" w:type="dxa"/>
        </w:trPr>
        <w:tc>
          <w:tcPr>
            <w:tcW w:w="0" w:type="auto"/>
            <w:vAlign w:val="center"/>
            <w:hideMark/>
          </w:tcPr>
          <w:p w14:paraId="791CB8B1" w14:textId="77777777" w:rsidR="00CD671D" w:rsidRPr="00CD671D" w:rsidRDefault="00CD671D" w:rsidP="00CD0ABE">
            <w:pPr>
              <w:rPr>
                <w:lang w:val="en-GB"/>
              </w:rPr>
            </w:pPr>
            <w:r w:rsidRPr="00CD671D">
              <w:rPr>
                <w:lang w:val="en-GB"/>
              </w:rPr>
              <w:t>Museum of Modern Art Salzburg</w:t>
            </w:r>
          </w:p>
        </w:tc>
        <w:tc>
          <w:tcPr>
            <w:tcW w:w="0" w:type="auto"/>
            <w:vAlign w:val="center"/>
            <w:hideMark/>
          </w:tcPr>
          <w:p w14:paraId="5DE64B05" w14:textId="77777777" w:rsidR="00CD671D" w:rsidRPr="00CD671D" w:rsidRDefault="00CD671D" w:rsidP="00CD0ABE">
            <w:r w:rsidRPr="00CD671D">
              <w:t>99,000</w:t>
            </w:r>
          </w:p>
        </w:tc>
        <w:tc>
          <w:tcPr>
            <w:tcW w:w="0" w:type="auto"/>
            <w:vAlign w:val="center"/>
            <w:hideMark/>
          </w:tcPr>
          <w:p w14:paraId="66D8EE3C" w14:textId="77777777" w:rsidR="00CD671D" w:rsidRPr="00CD671D" w:rsidRDefault="00CD671D" w:rsidP="00CD0ABE">
            <w:r w:rsidRPr="00CD671D">
              <w:t>95,000</w:t>
            </w:r>
          </w:p>
        </w:tc>
      </w:tr>
      <w:tr w:rsidR="00CD671D" w:rsidRPr="00CD671D" w14:paraId="30732D98" w14:textId="77777777" w:rsidTr="00C51812">
        <w:trPr>
          <w:tblCellSpacing w:w="15" w:type="dxa"/>
        </w:trPr>
        <w:tc>
          <w:tcPr>
            <w:tcW w:w="0" w:type="auto"/>
            <w:vAlign w:val="center"/>
            <w:hideMark/>
          </w:tcPr>
          <w:p w14:paraId="2A99D14B" w14:textId="77777777" w:rsidR="00CD671D" w:rsidRPr="00CD671D" w:rsidRDefault="00CD671D" w:rsidP="00CD0ABE">
            <w:r w:rsidRPr="00CD671D">
              <w:t>Stiegl Brewery World</w:t>
            </w:r>
          </w:p>
        </w:tc>
        <w:tc>
          <w:tcPr>
            <w:tcW w:w="0" w:type="auto"/>
            <w:vAlign w:val="center"/>
            <w:hideMark/>
          </w:tcPr>
          <w:p w14:paraId="69FEF147" w14:textId="77777777" w:rsidR="00CD671D" w:rsidRPr="00CD671D" w:rsidRDefault="00CD671D" w:rsidP="00CD0ABE">
            <w:r w:rsidRPr="00CD671D">
              <w:t>42,000</w:t>
            </w:r>
          </w:p>
        </w:tc>
        <w:tc>
          <w:tcPr>
            <w:tcW w:w="0" w:type="auto"/>
            <w:vAlign w:val="center"/>
            <w:hideMark/>
          </w:tcPr>
          <w:p w14:paraId="747B121F" w14:textId="77777777" w:rsidR="00CD671D" w:rsidRPr="00CD671D" w:rsidRDefault="00CD671D" w:rsidP="00CD0ABE">
            <w:r w:rsidRPr="00CD671D">
              <w:t>43,496</w:t>
            </w:r>
          </w:p>
        </w:tc>
      </w:tr>
      <w:tr w:rsidR="00CD671D" w:rsidRPr="00CD671D" w14:paraId="39BA8808" w14:textId="77777777" w:rsidTr="00C51812">
        <w:trPr>
          <w:tblCellSpacing w:w="15" w:type="dxa"/>
        </w:trPr>
        <w:tc>
          <w:tcPr>
            <w:tcW w:w="0" w:type="auto"/>
            <w:vAlign w:val="center"/>
            <w:hideMark/>
          </w:tcPr>
          <w:p w14:paraId="4DA8DD49" w14:textId="77777777" w:rsidR="00CD671D" w:rsidRPr="00CD671D" w:rsidRDefault="00CD671D" w:rsidP="00CD0ABE">
            <w:r w:rsidRPr="00CD671D">
              <w:t xml:space="preserve">Cathedral </w:t>
            </w:r>
            <w:proofErr w:type="spellStart"/>
            <w:r w:rsidRPr="00CD671D">
              <w:t>Excavation</w:t>
            </w:r>
            <w:proofErr w:type="spellEnd"/>
            <w:r w:rsidRPr="00CD671D">
              <w:t xml:space="preserve"> Museum</w:t>
            </w:r>
          </w:p>
        </w:tc>
        <w:tc>
          <w:tcPr>
            <w:tcW w:w="0" w:type="auto"/>
            <w:vAlign w:val="center"/>
            <w:hideMark/>
          </w:tcPr>
          <w:p w14:paraId="623E14C8" w14:textId="77777777" w:rsidR="00CD671D" w:rsidRPr="00CD671D" w:rsidRDefault="00CD671D" w:rsidP="00CD0ABE">
            <w:r w:rsidRPr="00CD671D">
              <w:t>2,199</w:t>
            </w:r>
          </w:p>
        </w:tc>
        <w:tc>
          <w:tcPr>
            <w:tcW w:w="0" w:type="auto"/>
            <w:vAlign w:val="center"/>
            <w:hideMark/>
          </w:tcPr>
          <w:p w14:paraId="02B01FA4" w14:textId="77777777" w:rsidR="00CD671D" w:rsidRPr="00CD671D" w:rsidRDefault="00CD671D" w:rsidP="00CD0ABE">
            <w:r w:rsidRPr="00CD671D">
              <w:t>—</w:t>
            </w:r>
          </w:p>
        </w:tc>
      </w:tr>
      <w:tr w:rsidR="00CD671D" w:rsidRPr="00CD671D" w14:paraId="7364EB98" w14:textId="77777777" w:rsidTr="00C51812">
        <w:trPr>
          <w:tblCellSpacing w:w="15" w:type="dxa"/>
        </w:trPr>
        <w:tc>
          <w:tcPr>
            <w:tcW w:w="0" w:type="auto"/>
            <w:vAlign w:val="center"/>
            <w:hideMark/>
          </w:tcPr>
          <w:p w14:paraId="44017041" w14:textId="77777777" w:rsidR="00CD671D" w:rsidRPr="00CD671D" w:rsidRDefault="00CD671D" w:rsidP="00CD0ABE">
            <w:r w:rsidRPr="00CD671D">
              <w:t>Salzburg Carillon</w:t>
            </w:r>
          </w:p>
        </w:tc>
        <w:tc>
          <w:tcPr>
            <w:tcW w:w="0" w:type="auto"/>
            <w:vAlign w:val="center"/>
            <w:hideMark/>
          </w:tcPr>
          <w:p w14:paraId="063C33D3" w14:textId="77777777" w:rsidR="00CD671D" w:rsidRPr="00CD671D" w:rsidRDefault="00CD671D" w:rsidP="00CD0ABE">
            <w:r w:rsidRPr="00CD671D">
              <w:t>3,322</w:t>
            </w:r>
          </w:p>
        </w:tc>
        <w:tc>
          <w:tcPr>
            <w:tcW w:w="0" w:type="auto"/>
            <w:vAlign w:val="center"/>
            <w:hideMark/>
          </w:tcPr>
          <w:p w14:paraId="4E9CE0B2" w14:textId="77777777" w:rsidR="00CD671D" w:rsidRPr="00CD671D" w:rsidRDefault="00CD671D" w:rsidP="00CD0ABE">
            <w:r w:rsidRPr="00CD671D">
              <w:t>—</w:t>
            </w:r>
          </w:p>
        </w:tc>
      </w:tr>
      <w:tr w:rsidR="00CD671D" w:rsidRPr="00CD671D" w14:paraId="365884E4" w14:textId="77777777" w:rsidTr="00C51812">
        <w:trPr>
          <w:tblCellSpacing w:w="15" w:type="dxa"/>
        </w:trPr>
        <w:tc>
          <w:tcPr>
            <w:tcW w:w="0" w:type="auto"/>
            <w:vAlign w:val="center"/>
            <w:hideMark/>
          </w:tcPr>
          <w:p w14:paraId="01AF2BBF" w14:textId="77777777" w:rsidR="00CD671D" w:rsidRPr="00CD671D" w:rsidRDefault="00CD671D" w:rsidP="00CD0ABE">
            <w:r w:rsidRPr="00CD671D">
              <w:t>Folklore Museum</w:t>
            </w:r>
          </w:p>
        </w:tc>
        <w:tc>
          <w:tcPr>
            <w:tcW w:w="0" w:type="auto"/>
            <w:vAlign w:val="center"/>
            <w:hideMark/>
          </w:tcPr>
          <w:p w14:paraId="382DE5E0" w14:textId="77777777" w:rsidR="00CD671D" w:rsidRPr="00CD671D" w:rsidRDefault="00CD671D" w:rsidP="00CD0ABE">
            <w:r w:rsidRPr="00CD671D">
              <w:t>20,526</w:t>
            </w:r>
          </w:p>
        </w:tc>
        <w:tc>
          <w:tcPr>
            <w:tcW w:w="0" w:type="auto"/>
            <w:vAlign w:val="center"/>
            <w:hideMark/>
          </w:tcPr>
          <w:p w14:paraId="53D891A7" w14:textId="77777777" w:rsidR="00CD671D" w:rsidRPr="00CD671D" w:rsidRDefault="00CD671D" w:rsidP="00CD0ABE">
            <w:r w:rsidRPr="00CD671D">
              <w:t>—</w:t>
            </w:r>
          </w:p>
        </w:tc>
      </w:tr>
    </w:tbl>
    <w:p w14:paraId="7CEEF4C4" w14:textId="77777777" w:rsidR="00CD671D" w:rsidRDefault="00CD671D" w:rsidP="00CD671D"/>
    <w:p w14:paraId="1489A8C0" w14:textId="77777777" w:rsidR="00C51812" w:rsidRDefault="00C51812" w:rsidP="00CD671D"/>
    <w:p w14:paraId="3C728623" w14:textId="77777777" w:rsidR="00C51812" w:rsidRDefault="00C51812" w:rsidP="00CD671D"/>
    <w:p w14:paraId="1B802845" w14:textId="77777777" w:rsidR="00C51812" w:rsidRDefault="00C51812" w:rsidP="00CD671D"/>
    <w:p w14:paraId="6D0C5A2E" w14:textId="77777777" w:rsidR="00C51812" w:rsidRDefault="00C51812" w:rsidP="00CD671D"/>
    <w:p w14:paraId="6D1B8BAC" w14:textId="77777777" w:rsidR="00C51812" w:rsidRPr="00CD671D" w:rsidRDefault="00C51812" w:rsidP="00CD671D"/>
    <w:p w14:paraId="76311084" w14:textId="77777777" w:rsidR="00CD671D" w:rsidRPr="00CD671D" w:rsidRDefault="00CD671D" w:rsidP="00CD671D">
      <w:pPr>
        <w:rPr>
          <w:b/>
          <w:bCs/>
          <w:lang w:val="en-GB"/>
        </w:rPr>
      </w:pPr>
      <w:r w:rsidRPr="00CD671D">
        <w:rPr>
          <w:b/>
          <w:bCs/>
          <w:lang w:val="en-GB"/>
        </w:rPr>
        <w:lastRenderedPageBreak/>
        <w:t>Salzburg Card</w:t>
      </w:r>
    </w:p>
    <w:p w14:paraId="535387F8" w14:textId="77777777" w:rsidR="00CD671D" w:rsidRPr="00CD671D" w:rsidRDefault="00CD671D" w:rsidP="00CD671D">
      <w:pPr>
        <w:rPr>
          <w:lang w:val="en-GB"/>
        </w:rPr>
      </w:pPr>
      <w:r w:rsidRPr="00CD671D">
        <w:rPr>
          <w:lang w:val="en-GB"/>
        </w:rPr>
        <w:t>The all-inclusive Salzburg Card provides one-time free admission to all attractions and museums in the city, includes public transport, and offers discounts for concerts and leisure activities.</w:t>
      </w:r>
    </w:p>
    <w:p w14:paraId="46942436" w14:textId="77777777" w:rsidR="00CD671D" w:rsidRPr="00CD671D" w:rsidRDefault="00CD671D" w:rsidP="00CD671D">
      <w:pPr>
        <w:rPr>
          <w:lang w:val="en-GB"/>
        </w:rPr>
      </w:pPr>
      <w:r w:rsidRPr="00CD671D">
        <w:rPr>
          <w:lang w:val="en-GB"/>
        </w:rPr>
        <w:t>The decline in Salzburg Card sales is likely attributable to the introduction of the Guest Mobility Ticket. This ticket allows overnight guests throughout the entire federal province of Salzburg to use all public transport free of charge. It is provided digitally or as a PDF upon check-in and remains valid for the entire duration of the stay.</w:t>
      </w:r>
    </w:p>
    <w:p w14:paraId="3C3E13C5" w14:textId="77777777" w:rsidR="00CD671D" w:rsidRPr="00CD671D" w:rsidRDefault="00CD671D" w:rsidP="00CD671D">
      <w:r w:rsidRPr="00CD671D">
        <w:t>In 2025:</w:t>
      </w:r>
    </w:p>
    <w:p w14:paraId="3489327A" w14:textId="77777777" w:rsidR="00CD671D" w:rsidRPr="00CD671D" w:rsidRDefault="00CD671D" w:rsidP="00CD671D">
      <w:pPr>
        <w:numPr>
          <w:ilvl w:val="0"/>
          <w:numId w:val="21"/>
        </w:numPr>
        <w:spacing w:after="160" w:line="259" w:lineRule="auto"/>
        <w:rPr>
          <w:lang w:val="en-GB"/>
        </w:rPr>
      </w:pPr>
      <w:r w:rsidRPr="00CD671D">
        <w:rPr>
          <w:lang w:val="en-GB"/>
        </w:rPr>
        <w:t>236,788 cards were sold (−10.92% compared to 2024)</w:t>
      </w:r>
    </w:p>
    <w:p w14:paraId="0E6237DB" w14:textId="77777777" w:rsidR="00CD671D" w:rsidRPr="00CD671D" w:rsidRDefault="00CD671D" w:rsidP="00CD671D">
      <w:pPr>
        <w:numPr>
          <w:ilvl w:val="0"/>
          <w:numId w:val="21"/>
        </w:numPr>
        <w:spacing w:after="160" w:line="259" w:lineRule="auto"/>
      </w:pPr>
      <w:r w:rsidRPr="00CD671D">
        <w:t xml:space="preserve">Registered </w:t>
      </w:r>
      <w:proofErr w:type="spellStart"/>
      <w:r w:rsidRPr="00CD671D">
        <w:t>admissions</w:t>
      </w:r>
      <w:proofErr w:type="spellEnd"/>
      <w:r w:rsidRPr="00CD671D">
        <w:t>: 1,194,806 (2024: 1,329,659)</w:t>
      </w:r>
    </w:p>
    <w:p w14:paraId="6905959D" w14:textId="77777777" w:rsidR="00CD671D" w:rsidRPr="00CD671D" w:rsidRDefault="00CD671D" w:rsidP="00CD671D">
      <w:pPr>
        <w:rPr>
          <w:lang w:val="en-GB"/>
        </w:rPr>
      </w:pPr>
      <w:r w:rsidRPr="00CD671D">
        <w:rPr>
          <w:lang w:val="en-GB"/>
        </w:rPr>
        <w:t>There was a slight decline across 24-, 48-, and 72-hour cards. The 48-hour card proved the most stable:</w:t>
      </w:r>
    </w:p>
    <w:p w14:paraId="164985B3" w14:textId="77777777" w:rsidR="00CD671D" w:rsidRPr="00CD671D" w:rsidRDefault="00CD671D" w:rsidP="00CD671D">
      <w:pPr>
        <w:numPr>
          <w:ilvl w:val="0"/>
          <w:numId w:val="22"/>
        </w:numPr>
        <w:spacing w:after="160" w:line="259" w:lineRule="auto"/>
      </w:pPr>
      <w:r w:rsidRPr="00CD671D">
        <w:t>24-hour: −9.62%</w:t>
      </w:r>
    </w:p>
    <w:p w14:paraId="1D9AD974" w14:textId="77777777" w:rsidR="00CD671D" w:rsidRPr="00CD671D" w:rsidRDefault="00CD671D" w:rsidP="00CD671D">
      <w:pPr>
        <w:numPr>
          <w:ilvl w:val="0"/>
          <w:numId w:val="22"/>
        </w:numPr>
        <w:spacing w:after="160" w:line="259" w:lineRule="auto"/>
      </w:pPr>
      <w:r w:rsidRPr="00CD671D">
        <w:t>48-hour: −6.69%</w:t>
      </w:r>
    </w:p>
    <w:p w14:paraId="5894FE2C" w14:textId="77777777" w:rsidR="00CD671D" w:rsidRPr="00CD671D" w:rsidRDefault="00CD671D" w:rsidP="00CD671D">
      <w:pPr>
        <w:numPr>
          <w:ilvl w:val="0"/>
          <w:numId w:val="22"/>
        </w:numPr>
        <w:spacing w:after="160" w:line="259" w:lineRule="auto"/>
      </w:pPr>
      <w:r w:rsidRPr="00CD671D">
        <w:t>72-hour: −14.85%</w:t>
      </w:r>
    </w:p>
    <w:p w14:paraId="66E7BF50" w14:textId="77777777" w:rsidR="00CD671D" w:rsidRPr="00CD671D" w:rsidRDefault="00CD671D" w:rsidP="00CD671D"/>
    <w:p w14:paraId="63A35E64" w14:textId="77777777" w:rsidR="00CD671D" w:rsidRPr="00CD671D" w:rsidRDefault="00CD671D" w:rsidP="00CD671D">
      <w:pPr>
        <w:rPr>
          <w:b/>
          <w:bCs/>
          <w:lang w:val="en-GB"/>
        </w:rPr>
      </w:pPr>
      <w:r w:rsidRPr="00CD671D">
        <w:rPr>
          <w:b/>
          <w:bCs/>
          <w:lang w:val="en-GB"/>
        </w:rPr>
        <w:t>Guided Tours</w:t>
      </w:r>
    </w:p>
    <w:p w14:paraId="0D69059D" w14:textId="77777777" w:rsidR="00CD671D" w:rsidRPr="00CD671D" w:rsidRDefault="00CD671D" w:rsidP="00CD671D">
      <w:pPr>
        <w:rPr>
          <w:lang w:val="en-GB"/>
        </w:rPr>
      </w:pPr>
      <w:r w:rsidRPr="00CD671D">
        <w:rPr>
          <w:lang w:val="en-GB"/>
        </w:rPr>
        <w:t>Around 159 certified Austria Guides offer tours for visitors. Tours are available on foot, by bicycle, horse-drawn carriage, or minibus. A standard tour lasts approximately 2.5 hours.</w:t>
      </w:r>
    </w:p>
    <w:p w14:paraId="1108FF00" w14:textId="77777777" w:rsidR="00CD671D" w:rsidRPr="00CD671D" w:rsidRDefault="00CD671D" w:rsidP="00CD671D">
      <w:pPr>
        <w:rPr>
          <w:lang w:val="en-GB"/>
        </w:rPr>
      </w:pPr>
      <w:r w:rsidRPr="00CD671D">
        <w:rPr>
          <w:lang w:val="en-GB"/>
        </w:rPr>
        <w:t>Specialized tours are also available, covering topics such as architecture, Mozart, beer culture, and folklore.</w:t>
      </w:r>
    </w:p>
    <w:p w14:paraId="212B67DC" w14:textId="77777777" w:rsidR="00CD671D" w:rsidRPr="00CD671D" w:rsidRDefault="00CD671D" w:rsidP="00CD671D">
      <w:pPr>
        <w:rPr>
          <w:lang w:val="en-GB"/>
        </w:rPr>
      </w:pPr>
    </w:p>
    <w:p w14:paraId="193C39FE" w14:textId="77777777" w:rsidR="00CD671D" w:rsidRPr="00CD671D" w:rsidRDefault="00CD671D" w:rsidP="00CD671D">
      <w:pPr>
        <w:rPr>
          <w:b/>
          <w:bCs/>
          <w:lang w:val="en-GB"/>
        </w:rPr>
      </w:pPr>
      <w:r w:rsidRPr="00CD671D">
        <w:rPr>
          <w:b/>
          <w:bCs/>
          <w:lang w:val="en-GB"/>
        </w:rPr>
        <w:t xml:space="preserve">Salzburg Congress and Exhibition </w:t>
      </w:r>
      <w:proofErr w:type="spellStart"/>
      <w:r w:rsidRPr="00CD671D">
        <w:rPr>
          <w:b/>
          <w:bCs/>
          <w:lang w:val="en-GB"/>
        </w:rPr>
        <w:t>Center</w:t>
      </w:r>
      <w:proofErr w:type="spellEnd"/>
    </w:p>
    <w:p w14:paraId="36897B4C" w14:textId="77777777" w:rsidR="00CD671D" w:rsidRPr="00CD671D" w:rsidRDefault="00CD671D" w:rsidP="00CD671D">
      <w:pPr>
        <w:rPr>
          <w:lang w:val="en-GB"/>
        </w:rPr>
      </w:pPr>
      <w:r w:rsidRPr="00CD671D">
        <w:rPr>
          <w:lang w:val="en-GB"/>
        </w:rPr>
        <w:t>In 2025, Salzburg Congress hosted conferences, conventions, cabaret, and concerts:</w:t>
      </w:r>
    </w:p>
    <w:p w14:paraId="534BEB06" w14:textId="77777777" w:rsidR="00CD671D" w:rsidRPr="00CD671D" w:rsidRDefault="00CD671D" w:rsidP="00CD671D">
      <w:pPr>
        <w:numPr>
          <w:ilvl w:val="0"/>
          <w:numId w:val="23"/>
        </w:numPr>
        <w:spacing w:after="160" w:line="259" w:lineRule="auto"/>
      </w:pPr>
      <w:r w:rsidRPr="00CD671D">
        <w:t xml:space="preserve">86 </w:t>
      </w:r>
      <w:proofErr w:type="spellStart"/>
      <w:r w:rsidRPr="00CD671D">
        <w:t>events</w:t>
      </w:r>
      <w:proofErr w:type="spellEnd"/>
      <w:r w:rsidRPr="00CD671D">
        <w:t xml:space="preserve"> (2024: 90)</w:t>
      </w:r>
    </w:p>
    <w:p w14:paraId="22842BE9" w14:textId="77777777" w:rsidR="00CD671D" w:rsidRPr="00CD671D" w:rsidRDefault="00CD671D" w:rsidP="00CD671D">
      <w:pPr>
        <w:numPr>
          <w:ilvl w:val="0"/>
          <w:numId w:val="23"/>
        </w:numPr>
        <w:spacing w:after="160" w:line="259" w:lineRule="auto"/>
      </w:pPr>
      <w:r w:rsidRPr="00CD671D">
        <w:t xml:space="preserve">87,231 </w:t>
      </w:r>
      <w:proofErr w:type="spellStart"/>
      <w:r w:rsidRPr="00CD671D">
        <w:t>visitors</w:t>
      </w:r>
      <w:proofErr w:type="spellEnd"/>
    </w:p>
    <w:p w14:paraId="43953E3F" w14:textId="77777777" w:rsidR="00CD671D" w:rsidRPr="00CD671D" w:rsidRDefault="00CD671D" w:rsidP="00CD671D">
      <w:pPr>
        <w:numPr>
          <w:ilvl w:val="0"/>
          <w:numId w:val="23"/>
        </w:numPr>
        <w:spacing w:after="160" w:line="259" w:lineRule="auto"/>
      </w:pPr>
      <w:r w:rsidRPr="00CD671D">
        <w:t xml:space="preserve">215 </w:t>
      </w:r>
      <w:proofErr w:type="spellStart"/>
      <w:r w:rsidRPr="00CD671D">
        <w:t>occupancy</w:t>
      </w:r>
      <w:proofErr w:type="spellEnd"/>
      <w:r w:rsidRPr="00CD671D">
        <w:t xml:space="preserve"> </w:t>
      </w:r>
      <w:proofErr w:type="spellStart"/>
      <w:r w:rsidRPr="00CD671D">
        <w:t>days</w:t>
      </w:r>
      <w:proofErr w:type="spellEnd"/>
      <w:r w:rsidRPr="00CD671D">
        <w:t xml:space="preserve"> (2024: 213)</w:t>
      </w:r>
    </w:p>
    <w:p w14:paraId="4F81BDFE" w14:textId="77777777" w:rsidR="00CD671D" w:rsidRPr="00CD671D" w:rsidRDefault="00CD671D" w:rsidP="00CD671D">
      <w:pPr>
        <w:rPr>
          <w:lang w:val="en-GB"/>
        </w:rPr>
      </w:pPr>
      <w:r w:rsidRPr="00CD671D">
        <w:rPr>
          <w:lang w:val="en-GB"/>
        </w:rPr>
        <w:t xml:space="preserve">At the </w:t>
      </w:r>
      <w:proofErr w:type="spellStart"/>
      <w:r w:rsidRPr="00CD671D">
        <w:rPr>
          <w:lang w:val="en-GB"/>
        </w:rPr>
        <w:t>Messezentrum</w:t>
      </w:r>
      <w:proofErr w:type="spellEnd"/>
      <w:r w:rsidRPr="00CD671D">
        <w:rPr>
          <w:lang w:val="en-GB"/>
        </w:rPr>
        <w:t xml:space="preserve"> Salzburg and </w:t>
      </w:r>
      <w:proofErr w:type="spellStart"/>
      <w:r w:rsidRPr="00CD671D">
        <w:rPr>
          <w:lang w:val="en-GB"/>
        </w:rPr>
        <w:t>Salzburgarena</w:t>
      </w:r>
      <w:proofErr w:type="spellEnd"/>
      <w:r w:rsidRPr="00CD671D">
        <w:rPr>
          <w:lang w:val="en-GB"/>
        </w:rPr>
        <w:t>:</w:t>
      </w:r>
    </w:p>
    <w:p w14:paraId="3F62A193" w14:textId="77777777" w:rsidR="00CD671D" w:rsidRPr="00CD671D" w:rsidRDefault="00CD671D" w:rsidP="00CD671D">
      <w:pPr>
        <w:numPr>
          <w:ilvl w:val="0"/>
          <w:numId w:val="24"/>
        </w:numPr>
        <w:spacing w:after="160" w:line="259" w:lineRule="auto"/>
      </w:pPr>
      <w:r w:rsidRPr="00CD671D">
        <w:t xml:space="preserve">106 </w:t>
      </w:r>
      <w:proofErr w:type="spellStart"/>
      <w:r w:rsidRPr="00CD671D">
        <w:t>events</w:t>
      </w:r>
      <w:proofErr w:type="spellEnd"/>
      <w:r w:rsidRPr="00CD671D">
        <w:t xml:space="preserve"> (2024: 85)</w:t>
      </w:r>
    </w:p>
    <w:p w14:paraId="45DD583F" w14:textId="77777777" w:rsidR="00CD671D" w:rsidRPr="00CD671D" w:rsidRDefault="00CD671D" w:rsidP="00CD671D">
      <w:pPr>
        <w:numPr>
          <w:ilvl w:val="0"/>
          <w:numId w:val="24"/>
        </w:numPr>
        <w:spacing w:after="160" w:line="259" w:lineRule="auto"/>
      </w:pPr>
      <w:r w:rsidRPr="00CD671D">
        <w:t xml:space="preserve">688,349 </w:t>
      </w:r>
      <w:proofErr w:type="spellStart"/>
      <w:r w:rsidRPr="00CD671D">
        <w:t>visitors</w:t>
      </w:r>
      <w:proofErr w:type="spellEnd"/>
      <w:r w:rsidRPr="00CD671D">
        <w:t xml:space="preserve"> (2024: 612,200)</w:t>
      </w:r>
    </w:p>
    <w:p w14:paraId="578F4C8A" w14:textId="77777777" w:rsidR="00CD671D" w:rsidRPr="00CD671D" w:rsidRDefault="00CD671D" w:rsidP="00CD671D"/>
    <w:p w14:paraId="2F783A4D" w14:textId="77777777" w:rsidR="00CD671D" w:rsidRPr="00CD671D" w:rsidRDefault="00CD671D" w:rsidP="00CD671D">
      <w:pPr>
        <w:rPr>
          <w:b/>
          <w:bCs/>
        </w:rPr>
      </w:pPr>
      <w:r w:rsidRPr="00CD671D">
        <w:rPr>
          <w:b/>
          <w:bCs/>
        </w:rPr>
        <w:t>Salzburg Airport W. A. Mozart</w:t>
      </w:r>
    </w:p>
    <w:p w14:paraId="32617297" w14:textId="77777777" w:rsidR="00CD671D" w:rsidRPr="00CD671D" w:rsidRDefault="00CD671D" w:rsidP="00CD671D">
      <w:r w:rsidRPr="00CD671D">
        <w:t>In 2025:</w:t>
      </w:r>
    </w:p>
    <w:p w14:paraId="5F75E3CB" w14:textId="77777777" w:rsidR="00CD671D" w:rsidRPr="00CD671D" w:rsidRDefault="00CD671D" w:rsidP="00CD671D">
      <w:pPr>
        <w:numPr>
          <w:ilvl w:val="0"/>
          <w:numId w:val="25"/>
        </w:numPr>
        <w:spacing w:after="160" w:line="259" w:lineRule="auto"/>
      </w:pPr>
      <w:r w:rsidRPr="00CD671D">
        <w:t xml:space="preserve">1,774,454 </w:t>
      </w:r>
      <w:proofErr w:type="spellStart"/>
      <w:r w:rsidRPr="00CD671D">
        <w:t>passengers</w:t>
      </w:r>
      <w:proofErr w:type="spellEnd"/>
      <w:r w:rsidRPr="00CD671D">
        <w:t xml:space="preserve"> (−0.71%)</w:t>
      </w:r>
    </w:p>
    <w:p w14:paraId="48B0D3E3" w14:textId="77777777" w:rsidR="00CD671D" w:rsidRPr="00CD671D" w:rsidRDefault="00CD671D" w:rsidP="00CD671D">
      <w:pPr>
        <w:numPr>
          <w:ilvl w:val="0"/>
          <w:numId w:val="25"/>
        </w:numPr>
        <w:spacing w:after="160" w:line="259" w:lineRule="auto"/>
        <w:rPr>
          <w:lang w:val="en-GB"/>
        </w:rPr>
      </w:pPr>
      <w:r w:rsidRPr="00CD671D">
        <w:rPr>
          <w:lang w:val="en-GB"/>
        </w:rPr>
        <w:t>Passenger numbers remained largely stable compared to 2024 but were still about 70,000 below pre-pandemic levels</w:t>
      </w:r>
    </w:p>
    <w:p w14:paraId="7F62A430" w14:textId="416C3D48" w:rsidR="00975BD0" w:rsidRPr="00CD671D" w:rsidRDefault="00CD671D" w:rsidP="00CD671D">
      <w:pPr>
        <w:numPr>
          <w:ilvl w:val="0"/>
          <w:numId w:val="25"/>
        </w:numPr>
        <w:spacing w:after="160" w:line="259" w:lineRule="auto"/>
      </w:pPr>
      <w:r w:rsidRPr="00CD671D">
        <w:t xml:space="preserve">14,747 </w:t>
      </w:r>
      <w:proofErr w:type="spellStart"/>
      <w:r w:rsidRPr="00CD671D">
        <w:t>commercial</w:t>
      </w:r>
      <w:proofErr w:type="spellEnd"/>
      <w:r w:rsidRPr="00CD671D">
        <w:t xml:space="preserve"> </w:t>
      </w:r>
      <w:proofErr w:type="spellStart"/>
      <w:r w:rsidRPr="00CD671D">
        <w:t>flight</w:t>
      </w:r>
      <w:proofErr w:type="spellEnd"/>
      <w:r w:rsidRPr="00CD671D">
        <w:t xml:space="preserve"> </w:t>
      </w:r>
      <w:proofErr w:type="spellStart"/>
      <w:r w:rsidRPr="00CD671D">
        <w:t>movements</w:t>
      </w:r>
      <w:proofErr w:type="spellEnd"/>
      <w:r w:rsidRPr="00CD671D">
        <w:t xml:space="preserve"> (+2.71%</w:t>
      </w:r>
    </w:p>
    <w:p w14:paraId="54B92CD2" w14:textId="75C3BB05" w:rsidR="00CD671D" w:rsidRDefault="00CD671D" w:rsidP="00CD671D">
      <w:r w:rsidRPr="00975BD0">
        <w:rPr>
          <w:b/>
          <w:bCs/>
        </w:rPr>
        <w:lastRenderedPageBreak/>
        <w:t xml:space="preserve">Further </w:t>
      </w:r>
      <w:proofErr w:type="spellStart"/>
      <w:r w:rsidRPr="00975BD0">
        <w:rPr>
          <w:b/>
          <w:bCs/>
        </w:rPr>
        <w:t>information</w:t>
      </w:r>
      <w:proofErr w:type="spellEnd"/>
      <w:r w:rsidRPr="00975BD0">
        <w:rPr>
          <w:b/>
          <w:bCs/>
        </w:rPr>
        <w:t>:</w:t>
      </w:r>
      <w:r w:rsidRPr="00CD671D">
        <w:br/>
        <w:t>Tourismus Salzburg</w:t>
      </w:r>
      <w:r w:rsidR="00975BD0">
        <w:t xml:space="preserve"> | </w:t>
      </w:r>
      <w:proofErr w:type="spellStart"/>
      <w:r w:rsidRPr="00CD671D">
        <w:t>Auerspergstraße</w:t>
      </w:r>
      <w:proofErr w:type="spellEnd"/>
      <w:r w:rsidRPr="00CD671D">
        <w:t xml:space="preserve"> 6, 5020 Salzburg, Austria</w:t>
      </w:r>
      <w:r w:rsidRPr="00CD671D">
        <w:br/>
        <w:t>Tel.: +43 662 889 87-0</w:t>
      </w:r>
      <w:r w:rsidRPr="00CD671D">
        <w:br/>
      </w:r>
      <w:hyperlink r:id="rId9" w:tgtFrame="_new" w:history="1">
        <w:r w:rsidRPr="00CD671D">
          <w:rPr>
            <w:rStyle w:val="Hyperlink"/>
            <w:rFonts w:cs="Arial"/>
          </w:rPr>
          <w:t>www.salzburg.info</w:t>
        </w:r>
      </w:hyperlink>
      <w:r w:rsidRPr="00CD671D">
        <w:br/>
        <w:t>@visitsalzburg</w:t>
      </w:r>
    </w:p>
    <w:p w14:paraId="7651C43F" w14:textId="77777777" w:rsidR="00975BD0" w:rsidRPr="00CD671D" w:rsidRDefault="00975BD0" w:rsidP="00CD671D"/>
    <w:p w14:paraId="5EF952FF" w14:textId="77777777" w:rsidR="00CD671D" w:rsidRPr="00CD671D" w:rsidRDefault="00CD671D" w:rsidP="00CD671D">
      <w:pPr>
        <w:rPr>
          <w:lang w:val="en-GB"/>
        </w:rPr>
      </w:pPr>
      <w:r w:rsidRPr="00975BD0">
        <w:rPr>
          <w:b/>
          <w:bCs/>
          <w:lang w:val="en-GB"/>
        </w:rPr>
        <w:t>Contact:</w:t>
      </w:r>
      <w:r w:rsidRPr="00CD671D">
        <w:rPr>
          <w:lang w:val="en-GB"/>
        </w:rPr>
        <w:br/>
        <w:t>Laura Strauss</w:t>
      </w:r>
      <w:r w:rsidRPr="00CD671D">
        <w:rPr>
          <w:lang w:val="en-GB"/>
        </w:rPr>
        <w:br/>
        <w:t>Tel.: +43 662 889 87-325</w:t>
      </w:r>
      <w:r w:rsidRPr="00CD671D">
        <w:rPr>
          <w:lang w:val="en-GB"/>
        </w:rPr>
        <w:br/>
        <w:t>kommunikation@salzburg.info</w:t>
      </w:r>
    </w:p>
    <w:p w14:paraId="1DF1F142" w14:textId="77777777" w:rsidR="00CD671D" w:rsidRPr="00CD671D" w:rsidRDefault="00CD671D" w:rsidP="00CD671D">
      <w:pPr>
        <w:rPr>
          <w:lang w:val="en-GB"/>
        </w:rPr>
      </w:pPr>
      <w:r w:rsidRPr="00CD671D">
        <w:rPr>
          <w:lang w:val="en-GB"/>
        </w:rPr>
        <w:t xml:space="preserve">Additional statistical information is available at: </w:t>
      </w:r>
      <w:hyperlink r:id="rId10" w:tgtFrame="_new" w:history="1">
        <w:r w:rsidRPr="00CD671D">
          <w:rPr>
            <w:rStyle w:val="Hyperlink"/>
            <w:rFonts w:cs="Arial"/>
            <w:lang w:val="en-GB"/>
          </w:rPr>
          <w:t>www.salzburg.info/statistik</w:t>
        </w:r>
      </w:hyperlink>
    </w:p>
    <w:p w14:paraId="65C124AD" w14:textId="77777777" w:rsidR="00CD671D" w:rsidRPr="00CD671D" w:rsidRDefault="00CD671D" w:rsidP="00CD671D">
      <w:pPr>
        <w:rPr>
          <w:lang w:val="en-GB"/>
        </w:rPr>
      </w:pPr>
    </w:p>
    <w:p w14:paraId="208464B6" w14:textId="77777777" w:rsidR="00B00474" w:rsidRPr="00CD671D" w:rsidRDefault="00B00474" w:rsidP="00B00474">
      <w:pPr>
        <w:pStyle w:val="Standard2"/>
        <w:rPr>
          <w:rStyle w:val="tm911"/>
          <w:lang w:val="en-GB"/>
        </w:rPr>
      </w:pPr>
      <w:r w:rsidRPr="00CD671D">
        <w:rPr>
          <w:rStyle w:val="tm911"/>
          <w:lang w:val="en-GB"/>
        </w:rPr>
        <w:t> </w:t>
      </w:r>
    </w:p>
    <w:p w14:paraId="02B4981D" w14:textId="77777777" w:rsidR="00957FE5" w:rsidRPr="00CD671D" w:rsidRDefault="00957FE5" w:rsidP="00B00474">
      <w:pPr>
        <w:pStyle w:val="Standard2"/>
        <w:rPr>
          <w:rFonts w:ascii="Arial" w:hAnsi="Arial" w:cs="Arial"/>
          <w:sz w:val="22"/>
          <w:szCs w:val="22"/>
          <w:lang w:val="en-GB"/>
        </w:rPr>
      </w:pPr>
    </w:p>
    <w:p w14:paraId="12186396" w14:textId="77777777" w:rsidR="00B00474" w:rsidRPr="00CD671D" w:rsidRDefault="00B00474" w:rsidP="00B00474">
      <w:pPr>
        <w:pStyle w:val="Standard2"/>
        <w:rPr>
          <w:rFonts w:ascii="Arial" w:hAnsi="Arial" w:cs="Arial"/>
          <w:sz w:val="22"/>
          <w:szCs w:val="22"/>
          <w:lang w:val="en-GB"/>
        </w:rPr>
      </w:pPr>
      <w:r w:rsidRPr="00CD671D">
        <w:rPr>
          <w:rStyle w:val="tm911"/>
          <w:lang w:val="en-GB"/>
        </w:rPr>
        <w:t>   </w:t>
      </w:r>
    </w:p>
    <w:p w14:paraId="4BA99F7D" w14:textId="77777777" w:rsidR="00B00474" w:rsidRPr="00CD671D" w:rsidRDefault="00B00474" w:rsidP="00B00474">
      <w:pPr>
        <w:pStyle w:val="Standard2"/>
        <w:rPr>
          <w:rFonts w:ascii="Arial" w:hAnsi="Arial" w:cs="Arial"/>
          <w:sz w:val="22"/>
          <w:szCs w:val="22"/>
          <w:lang w:val="en-GB"/>
        </w:rPr>
      </w:pPr>
      <w:r w:rsidRPr="00CD671D">
        <w:rPr>
          <w:rFonts w:ascii="Arial" w:hAnsi="Arial" w:cs="Arial"/>
          <w:sz w:val="22"/>
          <w:szCs w:val="22"/>
          <w:lang w:val="en-GB"/>
        </w:rPr>
        <w:t> </w:t>
      </w:r>
    </w:p>
    <w:p w14:paraId="45586822" w14:textId="77777777" w:rsidR="00B00474" w:rsidRPr="00CD671D" w:rsidRDefault="00B00474" w:rsidP="00B00474">
      <w:pPr>
        <w:pStyle w:val="Standard2"/>
        <w:rPr>
          <w:rStyle w:val="tm3511"/>
          <w:b w:val="0"/>
          <w:lang w:val="en-GB"/>
        </w:rPr>
      </w:pPr>
    </w:p>
    <w:p w14:paraId="6F75FED6" w14:textId="77777777" w:rsidR="00975BD0" w:rsidRDefault="00975BD0" w:rsidP="00975BD0">
      <w:pPr>
        <w:pStyle w:val="Standard2"/>
        <w:ind w:left="6381" w:firstLine="709"/>
        <w:rPr>
          <w:rStyle w:val="tm3511"/>
          <w:b w:val="0"/>
          <w:lang w:val="en-GB"/>
        </w:rPr>
      </w:pPr>
    </w:p>
    <w:p w14:paraId="4B860494" w14:textId="77777777" w:rsidR="00975BD0" w:rsidRDefault="00975BD0" w:rsidP="00975BD0">
      <w:pPr>
        <w:pStyle w:val="Standard2"/>
        <w:ind w:left="6381" w:firstLine="709"/>
        <w:rPr>
          <w:rStyle w:val="tm3511"/>
          <w:b w:val="0"/>
          <w:lang w:val="en-GB"/>
        </w:rPr>
      </w:pPr>
    </w:p>
    <w:p w14:paraId="616E2DFD" w14:textId="77777777" w:rsidR="00975BD0" w:rsidRDefault="00975BD0" w:rsidP="00975BD0">
      <w:pPr>
        <w:pStyle w:val="Standard2"/>
        <w:ind w:left="6381" w:firstLine="709"/>
        <w:rPr>
          <w:rStyle w:val="tm3511"/>
          <w:b w:val="0"/>
          <w:lang w:val="en-GB"/>
        </w:rPr>
      </w:pPr>
    </w:p>
    <w:p w14:paraId="73C48FB0" w14:textId="77777777" w:rsidR="00975BD0" w:rsidRDefault="00975BD0" w:rsidP="00975BD0">
      <w:pPr>
        <w:pStyle w:val="Standard2"/>
        <w:ind w:left="6381" w:firstLine="709"/>
        <w:rPr>
          <w:rStyle w:val="tm3511"/>
          <w:b w:val="0"/>
          <w:lang w:val="en-GB"/>
        </w:rPr>
      </w:pPr>
    </w:p>
    <w:p w14:paraId="04A41C89" w14:textId="77777777" w:rsidR="00975BD0" w:rsidRDefault="00975BD0" w:rsidP="00975BD0">
      <w:pPr>
        <w:pStyle w:val="Standard2"/>
        <w:ind w:left="6381" w:firstLine="709"/>
        <w:rPr>
          <w:rStyle w:val="tm3511"/>
          <w:b w:val="0"/>
          <w:lang w:val="en-GB"/>
        </w:rPr>
      </w:pPr>
    </w:p>
    <w:p w14:paraId="16FD8739" w14:textId="77777777" w:rsidR="00975BD0" w:rsidRDefault="00975BD0" w:rsidP="00975BD0">
      <w:pPr>
        <w:pStyle w:val="Standard2"/>
        <w:ind w:left="6381" w:firstLine="709"/>
        <w:rPr>
          <w:rStyle w:val="tm3511"/>
          <w:b w:val="0"/>
          <w:lang w:val="en-GB"/>
        </w:rPr>
      </w:pPr>
    </w:p>
    <w:p w14:paraId="0FE3D1C5" w14:textId="77777777" w:rsidR="00975BD0" w:rsidRDefault="00975BD0" w:rsidP="00975BD0">
      <w:pPr>
        <w:pStyle w:val="Standard2"/>
        <w:ind w:left="6381" w:firstLine="709"/>
        <w:rPr>
          <w:rStyle w:val="tm3511"/>
          <w:b w:val="0"/>
          <w:lang w:val="en-GB"/>
        </w:rPr>
      </w:pPr>
    </w:p>
    <w:p w14:paraId="58CD9CBE" w14:textId="77777777" w:rsidR="00975BD0" w:rsidRDefault="00975BD0" w:rsidP="00975BD0">
      <w:pPr>
        <w:pStyle w:val="Standard2"/>
        <w:ind w:left="6381" w:firstLine="709"/>
        <w:rPr>
          <w:rStyle w:val="tm3511"/>
          <w:b w:val="0"/>
          <w:lang w:val="en-GB"/>
        </w:rPr>
      </w:pPr>
    </w:p>
    <w:p w14:paraId="08482FCF" w14:textId="77777777" w:rsidR="00975BD0" w:rsidRDefault="00975BD0" w:rsidP="00975BD0">
      <w:pPr>
        <w:pStyle w:val="Standard2"/>
        <w:ind w:left="6381" w:firstLine="709"/>
        <w:rPr>
          <w:rStyle w:val="tm3511"/>
          <w:b w:val="0"/>
          <w:lang w:val="en-GB"/>
        </w:rPr>
      </w:pPr>
    </w:p>
    <w:p w14:paraId="557049BB" w14:textId="77777777" w:rsidR="00975BD0" w:rsidRDefault="00975BD0" w:rsidP="00975BD0">
      <w:pPr>
        <w:pStyle w:val="Standard2"/>
        <w:ind w:left="6381" w:firstLine="709"/>
        <w:rPr>
          <w:rStyle w:val="tm3511"/>
          <w:b w:val="0"/>
          <w:lang w:val="en-GB"/>
        </w:rPr>
      </w:pPr>
    </w:p>
    <w:p w14:paraId="7F594D00" w14:textId="77777777" w:rsidR="00975BD0" w:rsidRDefault="00975BD0" w:rsidP="00975BD0">
      <w:pPr>
        <w:pStyle w:val="Standard2"/>
        <w:ind w:left="6381" w:firstLine="709"/>
        <w:rPr>
          <w:rStyle w:val="tm3511"/>
          <w:b w:val="0"/>
          <w:lang w:val="en-GB"/>
        </w:rPr>
      </w:pPr>
    </w:p>
    <w:p w14:paraId="494EB52C" w14:textId="77777777" w:rsidR="00975BD0" w:rsidRDefault="00975BD0" w:rsidP="00975BD0">
      <w:pPr>
        <w:pStyle w:val="Standard2"/>
        <w:ind w:left="6381" w:firstLine="709"/>
        <w:rPr>
          <w:rStyle w:val="tm3511"/>
          <w:b w:val="0"/>
          <w:lang w:val="en-GB"/>
        </w:rPr>
      </w:pPr>
    </w:p>
    <w:p w14:paraId="075332A4" w14:textId="77777777" w:rsidR="00975BD0" w:rsidRDefault="00975BD0" w:rsidP="00975BD0">
      <w:pPr>
        <w:pStyle w:val="Standard2"/>
        <w:ind w:left="6381" w:firstLine="709"/>
        <w:rPr>
          <w:rStyle w:val="tm3511"/>
          <w:b w:val="0"/>
          <w:lang w:val="en-GB"/>
        </w:rPr>
      </w:pPr>
    </w:p>
    <w:p w14:paraId="7B73EB57" w14:textId="77777777" w:rsidR="00975BD0" w:rsidRDefault="00975BD0" w:rsidP="00975BD0">
      <w:pPr>
        <w:pStyle w:val="Standard2"/>
        <w:ind w:left="6381" w:firstLine="709"/>
        <w:rPr>
          <w:rStyle w:val="tm3511"/>
          <w:b w:val="0"/>
          <w:lang w:val="en-GB"/>
        </w:rPr>
      </w:pPr>
    </w:p>
    <w:p w14:paraId="269C746A" w14:textId="77777777" w:rsidR="00975BD0" w:rsidRDefault="00975BD0" w:rsidP="00975BD0">
      <w:pPr>
        <w:pStyle w:val="Standard2"/>
        <w:ind w:left="6381" w:firstLine="709"/>
        <w:rPr>
          <w:rStyle w:val="tm3511"/>
          <w:b w:val="0"/>
          <w:lang w:val="en-GB"/>
        </w:rPr>
      </w:pPr>
    </w:p>
    <w:p w14:paraId="16F067E1" w14:textId="77777777" w:rsidR="00975BD0" w:rsidRDefault="00975BD0" w:rsidP="00975BD0">
      <w:pPr>
        <w:pStyle w:val="Standard2"/>
        <w:ind w:left="6381" w:firstLine="709"/>
        <w:rPr>
          <w:rStyle w:val="tm3511"/>
          <w:b w:val="0"/>
          <w:lang w:val="en-GB"/>
        </w:rPr>
      </w:pPr>
    </w:p>
    <w:p w14:paraId="35F0758B" w14:textId="77777777" w:rsidR="00975BD0" w:rsidRDefault="00975BD0" w:rsidP="00975BD0">
      <w:pPr>
        <w:pStyle w:val="Standard2"/>
        <w:ind w:left="6381" w:firstLine="709"/>
        <w:rPr>
          <w:rStyle w:val="tm3511"/>
          <w:b w:val="0"/>
          <w:lang w:val="en-GB"/>
        </w:rPr>
      </w:pPr>
    </w:p>
    <w:p w14:paraId="1EB3464F" w14:textId="77777777" w:rsidR="00975BD0" w:rsidRDefault="00975BD0" w:rsidP="00975BD0">
      <w:pPr>
        <w:pStyle w:val="Standard2"/>
        <w:ind w:left="6381" w:firstLine="709"/>
        <w:rPr>
          <w:rStyle w:val="tm3511"/>
          <w:b w:val="0"/>
          <w:lang w:val="en-GB"/>
        </w:rPr>
      </w:pPr>
    </w:p>
    <w:p w14:paraId="483FB8A1" w14:textId="77777777" w:rsidR="00975BD0" w:rsidRDefault="00975BD0" w:rsidP="00975BD0">
      <w:pPr>
        <w:pStyle w:val="Standard2"/>
        <w:ind w:left="6381" w:firstLine="709"/>
        <w:rPr>
          <w:rStyle w:val="tm3511"/>
          <w:b w:val="0"/>
          <w:lang w:val="en-GB"/>
        </w:rPr>
      </w:pPr>
    </w:p>
    <w:p w14:paraId="38658CDA" w14:textId="77777777" w:rsidR="00975BD0" w:rsidRDefault="00975BD0" w:rsidP="00975BD0">
      <w:pPr>
        <w:pStyle w:val="Standard2"/>
        <w:ind w:left="6381" w:firstLine="709"/>
        <w:rPr>
          <w:rStyle w:val="tm3511"/>
          <w:b w:val="0"/>
          <w:lang w:val="en-GB"/>
        </w:rPr>
      </w:pPr>
    </w:p>
    <w:p w14:paraId="6E6F9ED4" w14:textId="77777777" w:rsidR="00975BD0" w:rsidRDefault="00975BD0" w:rsidP="00975BD0">
      <w:pPr>
        <w:pStyle w:val="Standard2"/>
        <w:ind w:left="6381" w:firstLine="709"/>
        <w:rPr>
          <w:rStyle w:val="tm3511"/>
          <w:b w:val="0"/>
          <w:lang w:val="en-GB"/>
        </w:rPr>
      </w:pPr>
    </w:p>
    <w:p w14:paraId="5A4723E5" w14:textId="122AB923" w:rsidR="00975BD0" w:rsidRDefault="00975BD0" w:rsidP="00EA69DD">
      <w:pPr>
        <w:pStyle w:val="Standard2"/>
        <w:rPr>
          <w:rStyle w:val="tm3511"/>
          <w:b w:val="0"/>
          <w:lang w:val="en-GB"/>
        </w:rPr>
      </w:pPr>
    </w:p>
    <w:p w14:paraId="02633AA1" w14:textId="77777777" w:rsidR="00975BD0" w:rsidRDefault="00975BD0" w:rsidP="00975BD0">
      <w:pPr>
        <w:pStyle w:val="Standard2"/>
        <w:ind w:left="6381" w:firstLine="709"/>
        <w:rPr>
          <w:rStyle w:val="tm3511"/>
          <w:b w:val="0"/>
          <w:lang w:val="en-GB"/>
        </w:rPr>
      </w:pPr>
    </w:p>
    <w:p w14:paraId="5756FE20" w14:textId="77777777" w:rsidR="00975BD0" w:rsidRDefault="00975BD0" w:rsidP="00975BD0">
      <w:pPr>
        <w:pStyle w:val="Standard2"/>
        <w:ind w:left="6381" w:firstLine="709"/>
        <w:rPr>
          <w:rStyle w:val="tm3511"/>
          <w:b w:val="0"/>
          <w:lang w:val="en-GB"/>
        </w:rPr>
      </w:pPr>
    </w:p>
    <w:p w14:paraId="6B9FC581" w14:textId="33CCEAC3" w:rsidR="00B00474" w:rsidRDefault="00B00474" w:rsidP="00975BD0">
      <w:pPr>
        <w:pStyle w:val="Standard2"/>
        <w:ind w:left="6381" w:firstLine="709"/>
        <w:rPr>
          <w:rStyle w:val="tm3511"/>
          <w:b w:val="0"/>
          <w:lang w:val="en-GB"/>
        </w:rPr>
      </w:pPr>
      <w:r w:rsidRPr="00CD671D">
        <w:rPr>
          <w:rStyle w:val="tm3511"/>
          <w:b w:val="0"/>
          <w:lang w:val="en-GB"/>
        </w:rPr>
        <w:t xml:space="preserve">Status: </w:t>
      </w:r>
      <w:r w:rsidR="00CD671D">
        <w:rPr>
          <w:rStyle w:val="tm3511"/>
          <w:b w:val="0"/>
          <w:lang w:val="en-GB"/>
        </w:rPr>
        <w:t>March 2026</w:t>
      </w:r>
    </w:p>
    <w:p w14:paraId="37585FF7" w14:textId="3AADB543" w:rsidR="00520A6E" w:rsidRPr="00CD671D" w:rsidRDefault="00975BD0" w:rsidP="00B00474">
      <w:pPr>
        <w:rPr>
          <w:lang w:val="en-GB"/>
        </w:rPr>
      </w:pPr>
      <w:r>
        <w:rPr>
          <w:lang w:val="en-GB"/>
        </w:rPr>
        <w:t xml:space="preserve">        </w:t>
      </w:r>
      <w:r w:rsidRPr="00CD671D">
        <w:rPr>
          <w:lang w:val="en-GB"/>
        </w:rPr>
        <w:t>Sources: City of Salzburg, Municipal Archives and Statistics Office, and internal sources</w:t>
      </w:r>
    </w:p>
    <w:sectPr w:rsidR="00520A6E" w:rsidRPr="00CD671D" w:rsidSect="00E85BF3">
      <w:headerReference w:type="default" r:id="rId11"/>
      <w:footerReference w:type="default" r:id="rId12"/>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C52D" w14:textId="77777777" w:rsidR="00D92787" w:rsidRDefault="00D92787" w:rsidP="00790AA5">
      <w:r>
        <w:separator/>
      </w:r>
    </w:p>
  </w:endnote>
  <w:endnote w:type="continuationSeparator" w:id="0">
    <w:p w14:paraId="31EDEF5A" w14:textId="77777777" w:rsidR="00D92787" w:rsidRDefault="00D92787"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75F" w14:textId="77777777" w:rsidR="001E6B05" w:rsidRDefault="001E6B05" w:rsidP="006B2844">
    <w:pPr>
      <w:pStyle w:val="Kopfzeile"/>
    </w:pPr>
  </w:p>
  <w:p w14:paraId="0E5F9F85" w14:textId="77777777" w:rsidR="001E6B05" w:rsidRDefault="007E57AE" w:rsidP="006B2844">
    <w:pPr>
      <w:pStyle w:val="Fuzeile"/>
    </w:pPr>
    <w:r>
      <w:rPr>
        <w:noProof/>
      </w:rPr>
      <w:drawing>
        <wp:anchor distT="0" distB="0" distL="114300" distR="114300" simplePos="0" relativeHeight="251657216" behindDoc="1" locked="0" layoutInCell="1" allowOverlap="1" wp14:anchorId="084B0999" wp14:editId="41BBD546">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1BA6" w14:textId="77777777" w:rsidR="00D92787" w:rsidRDefault="00D92787" w:rsidP="00790AA5">
      <w:r>
        <w:separator/>
      </w:r>
    </w:p>
  </w:footnote>
  <w:footnote w:type="continuationSeparator" w:id="0">
    <w:p w14:paraId="2CACBFA8" w14:textId="77777777" w:rsidR="00D92787" w:rsidRDefault="00D92787"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AF8D" w14:textId="1A8FA4D3" w:rsidR="001E6B05" w:rsidRDefault="00B72BEC">
    <w:pPr>
      <w:pStyle w:val="Kopfzeile"/>
    </w:pPr>
    <w:r>
      <w:rPr>
        <w:noProof/>
      </w:rPr>
      <w:drawing>
        <wp:anchor distT="0" distB="0" distL="114300" distR="114300" simplePos="0" relativeHeight="251659264" behindDoc="1" locked="0" layoutInCell="1" allowOverlap="1" wp14:anchorId="4EA9E7DB" wp14:editId="24B3544B">
          <wp:simplePos x="0" y="0"/>
          <wp:positionH relativeFrom="column">
            <wp:posOffset>4700270</wp:posOffset>
          </wp:positionH>
          <wp:positionV relativeFrom="paragraph">
            <wp:posOffset>6985</wp:posOffset>
          </wp:positionV>
          <wp:extent cx="1278000" cy="673200"/>
          <wp:effectExtent l="0" t="0" r="0" b="0"/>
          <wp:wrapTight wrapText="bothSides">
            <wp:wrapPolygon edited="0">
              <wp:start x="0" y="0"/>
              <wp:lineTo x="0" y="20785"/>
              <wp:lineTo x="21256" y="20785"/>
              <wp:lineTo x="2125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SG_eng.jpg"/>
                  <pic:cNvPicPr/>
                </pic:nvPicPr>
                <pic:blipFill>
                  <a:blip r:embed="rId1"/>
                  <a:stretch>
                    <a:fillRect/>
                  </a:stretch>
                </pic:blipFill>
                <pic:spPr>
                  <a:xfrm>
                    <a:off x="0" y="0"/>
                    <a:ext cx="1278000" cy="673200"/>
                  </a:xfrm>
                  <a:prstGeom prst="rect">
                    <a:avLst/>
                  </a:prstGeom>
                </pic:spPr>
              </pic:pic>
            </a:graphicData>
          </a:graphic>
          <wp14:sizeRelH relativeFrom="margin">
            <wp14:pctWidth>0</wp14:pctWidth>
          </wp14:sizeRelH>
          <wp14:sizeRelV relativeFrom="margin">
            <wp14:pctHeight>0</wp14:pctHeight>
          </wp14:sizeRelV>
        </wp:anchor>
      </w:drawing>
    </w:r>
  </w:p>
  <w:p w14:paraId="78F3B399" w14:textId="069CF8A5" w:rsidR="005E6FEA" w:rsidRPr="00476685" w:rsidRDefault="005E6FEA" w:rsidP="005E6FEA">
    <w:pPr>
      <w:tabs>
        <w:tab w:val="left" w:pos="6804"/>
      </w:tabs>
      <w:rPr>
        <w:sz w:val="20"/>
        <w:szCs w:val="20"/>
      </w:rPr>
    </w:pPr>
    <w:r w:rsidRPr="00305D76">
      <w:rPr>
        <w:sz w:val="28"/>
        <w:szCs w:val="28"/>
      </w:rPr>
      <w:t>PRESS</w:t>
    </w:r>
    <w:r w:rsidR="00B72D95">
      <w:rPr>
        <w:sz w:val="28"/>
        <w:szCs w:val="28"/>
      </w:rPr>
      <w:t xml:space="preserve"> </w:t>
    </w:r>
    <w:r w:rsidRPr="00305D76">
      <w:rPr>
        <w:sz w:val="28"/>
        <w:szCs w:val="28"/>
      </w:rPr>
      <w:t xml:space="preserve">INFORMATION </w:t>
    </w:r>
  </w:p>
  <w:p w14:paraId="383DECB1"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5D2"/>
    <w:multiLevelType w:val="hybridMultilevel"/>
    <w:tmpl w:val="B478DF28"/>
    <w:lvl w:ilvl="0" w:tplc="F5F8ABD6">
      <w:numFmt w:val="bullet"/>
      <w:lvlText w:val=""/>
      <w:lvlJc w:val="left"/>
      <w:pPr>
        <w:ind w:left="720" w:hanging="360"/>
      </w:pPr>
      <w:rPr>
        <w:rFonts w:ascii="Symbol" w:eastAsia="Times New Roman" w:hAnsi="Symbol" w:cs="Arial" w:hint="default"/>
        <w:b w:val="0"/>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75547"/>
    <w:multiLevelType w:val="multilevel"/>
    <w:tmpl w:val="A3E8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3E79"/>
    <w:multiLevelType w:val="hybridMultilevel"/>
    <w:tmpl w:val="F272B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1350A"/>
    <w:multiLevelType w:val="multilevel"/>
    <w:tmpl w:val="18D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C74BA"/>
    <w:multiLevelType w:val="multilevel"/>
    <w:tmpl w:val="BD5A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5C89"/>
    <w:multiLevelType w:val="multilevel"/>
    <w:tmpl w:val="804E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72B89"/>
    <w:multiLevelType w:val="multilevel"/>
    <w:tmpl w:val="B5D2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05E88"/>
    <w:multiLevelType w:val="hybridMultilevel"/>
    <w:tmpl w:val="C2F85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043806"/>
    <w:multiLevelType w:val="multilevel"/>
    <w:tmpl w:val="0D46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64CB8"/>
    <w:multiLevelType w:val="multilevel"/>
    <w:tmpl w:val="D146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74EE8"/>
    <w:multiLevelType w:val="multilevel"/>
    <w:tmpl w:val="BCA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D66038"/>
    <w:multiLevelType w:val="multilevel"/>
    <w:tmpl w:val="0478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4341A"/>
    <w:multiLevelType w:val="multilevel"/>
    <w:tmpl w:val="102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B0EE2"/>
    <w:multiLevelType w:val="multilevel"/>
    <w:tmpl w:val="6D64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6"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85724"/>
    <w:multiLevelType w:val="multilevel"/>
    <w:tmpl w:val="82FC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329E0"/>
    <w:multiLevelType w:val="hybridMultilevel"/>
    <w:tmpl w:val="34EEFA2C"/>
    <w:lvl w:ilvl="0" w:tplc="E2EE3F7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E659EE"/>
    <w:multiLevelType w:val="multilevel"/>
    <w:tmpl w:val="87A6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55073"/>
    <w:multiLevelType w:val="multilevel"/>
    <w:tmpl w:val="397C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540E0"/>
    <w:multiLevelType w:val="multilevel"/>
    <w:tmpl w:val="48D4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B21B8"/>
    <w:multiLevelType w:val="hybridMultilevel"/>
    <w:tmpl w:val="ED22F5A0"/>
    <w:lvl w:ilvl="0" w:tplc="9C807D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4845740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886733">
    <w:abstractNumId w:val="15"/>
  </w:num>
  <w:num w:numId="3" w16cid:durableId="979456119">
    <w:abstractNumId w:val="23"/>
  </w:num>
  <w:num w:numId="4" w16cid:durableId="648706398">
    <w:abstractNumId w:val="16"/>
  </w:num>
  <w:num w:numId="5" w16cid:durableId="1137070137">
    <w:abstractNumId w:val="11"/>
  </w:num>
  <w:num w:numId="6" w16cid:durableId="2059040172">
    <w:abstractNumId w:val="22"/>
  </w:num>
  <w:num w:numId="7" w16cid:durableId="648898648">
    <w:abstractNumId w:val="7"/>
  </w:num>
  <w:num w:numId="8" w16cid:durableId="197209620">
    <w:abstractNumId w:val="0"/>
  </w:num>
  <w:num w:numId="9" w16cid:durableId="425198270">
    <w:abstractNumId w:val="18"/>
  </w:num>
  <w:num w:numId="10" w16cid:durableId="2080057861">
    <w:abstractNumId w:val="2"/>
  </w:num>
  <w:num w:numId="11" w16cid:durableId="883447020">
    <w:abstractNumId w:val="19"/>
  </w:num>
  <w:num w:numId="12" w16cid:durableId="34232462">
    <w:abstractNumId w:val="9"/>
  </w:num>
  <w:num w:numId="13" w16cid:durableId="1212963918">
    <w:abstractNumId w:val="1"/>
  </w:num>
  <w:num w:numId="14" w16cid:durableId="729037497">
    <w:abstractNumId w:val="20"/>
  </w:num>
  <w:num w:numId="15" w16cid:durableId="2008047617">
    <w:abstractNumId w:val="6"/>
  </w:num>
  <w:num w:numId="16" w16cid:durableId="1456754549">
    <w:abstractNumId w:val="13"/>
  </w:num>
  <w:num w:numId="17" w16cid:durableId="122892762">
    <w:abstractNumId w:val="3"/>
  </w:num>
  <w:num w:numId="18" w16cid:durableId="1152137187">
    <w:abstractNumId w:val="8"/>
  </w:num>
  <w:num w:numId="19" w16cid:durableId="1619216380">
    <w:abstractNumId w:val="10"/>
  </w:num>
  <w:num w:numId="20" w16cid:durableId="2053459615">
    <w:abstractNumId w:val="14"/>
  </w:num>
  <w:num w:numId="21" w16cid:durableId="2126653911">
    <w:abstractNumId w:val="21"/>
  </w:num>
  <w:num w:numId="22" w16cid:durableId="520241212">
    <w:abstractNumId w:val="17"/>
  </w:num>
  <w:num w:numId="23" w16cid:durableId="357850546">
    <w:abstractNumId w:val="4"/>
  </w:num>
  <w:num w:numId="24" w16cid:durableId="1431127428">
    <w:abstractNumId w:val="12"/>
  </w:num>
  <w:num w:numId="25" w16cid:durableId="1977371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75A4F"/>
    <w:rsid w:val="00080ED9"/>
    <w:rsid w:val="0009421E"/>
    <w:rsid w:val="00095435"/>
    <w:rsid w:val="000A1430"/>
    <w:rsid w:val="000A3B35"/>
    <w:rsid w:val="000A47F0"/>
    <w:rsid w:val="000A6AEE"/>
    <w:rsid w:val="000B382F"/>
    <w:rsid w:val="000B74C8"/>
    <w:rsid w:val="000C11CB"/>
    <w:rsid w:val="000C171D"/>
    <w:rsid w:val="000C53B0"/>
    <w:rsid w:val="000C67FB"/>
    <w:rsid w:val="000C760C"/>
    <w:rsid w:val="000E2F83"/>
    <w:rsid w:val="000E38E0"/>
    <w:rsid w:val="000F17FD"/>
    <w:rsid w:val="000F5C5A"/>
    <w:rsid w:val="000F6B78"/>
    <w:rsid w:val="00103C2B"/>
    <w:rsid w:val="001141DA"/>
    <w:rsid w:val="0011446D"/>
    <w:rsid w:val="001203DB"/>
    <w:rsid w:val="0012535A"/>
    <w:rsid w:val="00140059"/>
    <w:rsid w:val="0015046E"/>
    <w:rsid w:val="00153384"/>
    <w:rsid w:val="001535A2"/>
    <w:rsid w:val="0017242E"/>
    <w:rsid w:val="00182913"/>
    <w:rsid w:val="00192130"/>
    <w:rsid w:val="0019264A"/>
    <w:rsid w:val="00197D63"/>
    <w:rsid w:val="001A159E"/>
    <w:rsid w:val="001A2EB8"/>
    <w:rsid w:val="001A54E4"/>
    <w:rsid w:val="001A54FA"/>
    <w:rsid w:val="001B5AD5"/>
    <w:rsid w:val="001B76E3"/>
    <w:rsid w:val="001C03EE"/>
    <w:rsid w:val="001D0DAF"/>
    <w:rsid w:val="001E6B05"/>
    <w:rsid w:val="0020093F"/>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C7B30"/>
    <w:rsid w:val="002D37BF"/>
    <w:rsid w:val="002D3C89"/>
    <w:rsid w:val="002E0FB6"/>
    <w:rsid w:val="002E1600"/>
    <w:rsid w:val="002E6A12"/>
    <w:rsid w:val="003061ED"/>
    <w:rsid w:val="00306398"/>
    <w:rsid w:val="00306E06"/>
    <w:rsid w:val="00310FBD"/>
    <w:rsid w:val="00313807"/>
    <w:rsid w:val="00317DA3"/>
    <w:rsid w:val="00333039"/>
    <w:rsid w:val="00333611"/>
    <w:rsid w:val="0033459A"/>
    <w:rsid w:val="00356F08"/>
    <w:rsid w:val="00365EF1"/>
    <w:rsid w:val="003731EE"/>
    <w:rsid w:val="0037393C"/>
    <w:rsid w:val="00374B5E"/>
    <w:rsid w:val="0037654F"/>
    <w:rsid w:val="003833DE"/>
    <w:rsid w:val="0039033A"/>
    <w:rsid w:val="003A28D0"/>
    <w:rsid w:val="003A2D43"/>
    <w:rsid w:val="003B4CF9"/>
    <w:rsid w:val="003C287E"/>
    <w:rsid w:val="003C59D3"/>
    <w:rsid w:val="003C7048"/>
    <w:rsid w:val="003D2746"/>
    <w:rsid w:val="003D6216"/>
    <w:rsid w:val="003D7701"/>
    <w:rsid w:val="003E4FA9"/>
    <w:rsid w:val="003F752C"/>
    <w:rsid w:val="004009FB"/>
    <w:rsid w:val="00402797"/>
    <w:rsid w:val="00403644"/>
    <w:rsid w:val="00406D96"/>
    <w:rsid w:val="004108B5"/>
    <w:rsid w:val="00410BB0"/>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7312"/>
    <w:rsid w:val="004B3006"/>
    <w:rsid w:val="004B6BDF"/>
    <w:rsid w:val="004C28FA"/>
    <w:rsid w:val="004C5601"/>
    <w:rsid w:val="004C5EB4"/>
    <w:rsid w:val="004D7DB0"/>
    <w:rsid w:val="004E5134"/>
    <w:rsid w:val="004F014E"/>
    <w:rsid w:val="00520A6E"/>
    <w:rsid w:val="00522641"/>
    <w:rsid w:val="00523199"/>
    <w:rsid w:val="00526266"/>
    <w:rsid w:val="00526DCD"/>
    <w:rsid w:val="00531363"/>
    <w:rsid w:val="0053285B"/>
    <w:rsid w:val="00534F5A"/>
    <w:rsid w:val="0053732B"/>
    <w:rsid w:val="0054065E"/>
    <w:rsid w:val="005466C3"/>
    <w:rsid w:val="005522FF"/>
    <w:rsid w:val="00560B36"/>
    <w:rsid w:val="00566396"/>
    <w:rsid w:val="00572EA7"/>
    <w:rsid w:val="00573DC9"/>
    <w:rsid w:val="00574098"/>
    <w:rsid w:val="00577828"/>
    <w:rsid w:val="00587097"/>
    <w:rsid w:val="0059012B"/>
    <w:rsid w:val="005947B2"/>
    <w:rsid w:val="00596C19"/>
    <w:rsid w:val="005A338D"/>
    <w:rsid w:val="005B0A3A"/>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8758B"/>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30780"/>
    <w:rsid w:val="00730F86"/>
    <w:rsid w:val="00732DDF"/>
    <w:rsid w:val="0073516F"/>
    <w:rsid w:val="007402DE"/>
    <w:rsid w:val="0074091B"/>
    <w:rsid w:val="0074305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E57AE"/>
    <w:rsid w:val="007F1F38"/>
    <w:rsid w:val="007F3637"/>
    <w:rsid w:val="00801E2C"/>
    <w:rsid w:val="00803A2A"/>
    <w:rsid w:val="00804B02"/>
    <w:rsid w:val="0080685B"/>
    <w:rsid w:val="008078DE"/>
    <w:rsid w:val="0081140F"/>
    <w:rsid w:val="008238EC"/>
    <w:rsid w:val="00830E37"/>
    <w:rsid w:val="00832070"/>
    <w:rsid w:val="008450FB"/>
    <w:rsid w:val="00852F70"/>
    <w:rsid w:val="00854A3C"/>
    <w:rsid w:val="00860A26"/>
    <w:rsid w:val="00873F5A"/>
    <w:rsid w:val="008745C0"/>
    <w:rsid w:val="00876876"/>
    <w:rsid w:val="00883933"/>
    <w:rsid w:val="00883F2E"/>
    <w:rsid w:val="0088710E"/>
    <w:rsid w:val="00891444"/>
    <w:rsid w:val="00893D61"/>
    <w:rsid w:val="00896934"/>
    <w:rsid w:val="00897F4C"/>
    <w:rsid w:val="008A091F"/>
    <w:rsid w:val="008B14CF"/>
    <w:rsid w:val="008B64F5"/>
    <w:rsid w:val="008B6568"/>
    <w:rsid w:val="008C3BF2"/>
    <w:rsid w:val="008C4D39"/>
    <w:rsid w:val="008D7CDD"/>
    <w:rsid w:val="008E059E"/>
    <w:rsid w:val="008E1B6E"/>
    <w:rsid w:val="008E27E0"/>
    <w:rsid w:val="008E424A"/>
    <w:rsid w:val="008E4597"/>
    <w:rsid w:val="008E5279"/>
    <w:rsid w:val="008F18AB"/>
    <w:rsid w:val="008F7AC8"/>
    <w:rsid w:val="00903088"/>
    <w:rsid w:val="00936929"/>
    <w:rsid w:val="009407A6"/>
    <w:rsid w:val="009447E7"/>
    <w:rsid w:val="00946360"/>
    <w:rsid w:val="00947CFF"/>
    <w:rsid w:val="00955ADD"/>
    <w:rsid w:val="00957FE5"/>
    <w:rsid w:val="0097271D"/>
    <w:rsid w:val="00973231"/>
    <w:rsid w:val="00975442"/>
    <w:rsid w:val="00975BD0"/>
    <w:rsid w:val="009768E1"/>
    <w:rsid w:val="009851A1"/>
    <w:rsid w:val="00986F76"/>
    <w:rsid w:val="00990350"/>
    <w:rsid w:val="009973E4"/>
    <w:rsid w:val="009A0C97"/>
    <w:rsid w:val="009A2CB5"/>
    <w:rsid w:val="009A2CFE"/>
    <w:rsid w:val="009A3A22"/>
    <w:rsid w:val="009B0B6B"/>
    <w:rsid w:val="009C766B"/>
    <w:rsid w:val="009C7973"/>
    <w:rsid w:val="009D64B7"/>
    <w:rsid w:val="009E2DE1"/>
    <w:rsid w:val="009E5309"/>
    <w:rsid w:val="00A00B4B"/>
    <w:rsid w:val="00A028B1"/>
    <w:rsid w:val="00A05B10"/>
    <w:rsid w:val="00A11D50"/>
    <w:rsid w:val="00A12500"/>
    <w:rsid w:val="00A20409"/>
    <w:rsid w:val="00A21627"/>
    <w:rsid w:val="00A22394"/>
    <w:rsid w:val="00A23807"/>
    <w:rsid w:val="00A26AE0"/>
    <w:rsid w:val="00A45032"/>
    <w:rsid w:val="00A527F3"/>
    <w:rsid w:val="00A571FE"/>
    <w:rsid w:val="00A67412"/>
    <w:rsid w:val="00A74FB5"/>
    <w:rsid w:val="00A80C4E"/>
    <w:rsid w:val="00A90581"/>
    <w:rsid w:val="00AC319A"/>
    <w:rsid w:val="00AC3DBF"/>
    <w:rsid w:val="00AC6E88"/>
    <w:rsid w:val="00AE024B"/>
    <w:rsid w:val="00AE0AF6"/>
    <w:rsid w:val="00AE4963"/>
    <w:rsid w:val="00AE6314"/>
    <w:rsid w:val="00AF076C"/>
    <w:rsid w:val="00B00474"/>
    <w:rsid w:val="00B00761"/>
    <w:rsid w:val="00B03C05"/>
    <w:rsid w:val="00B11D08"/>
    <w:rsid w:val="00B159DA"/>
    <w:rsid w:val="00B2153D"/>
    <w:rsid w:val="00B26717"/>
    <w:rsid w:val="00B27C13"/>
    <w:rsid w:val="00B30E29"/>
    <w:rsid w:val="00B32C4C"/>
    <w:rsid w:val="00B4295E"/>
    <w:rsid w:val="00B44460"/>
    <w:rsid w:val="00B444D6"/>
    <w:rsid w:val="00B548C9"/>
    <w:rsid w:val="00B60E2F"/>
    <w:rsid w:val="00B65759"/>
    <w:rsid w:val="00B67B67"/>
    <w:rsid w:val="00B72BEC"/>
    <w:rsid w:val="00B72D95"/>
    <w:rsid w:val="00B7764E"/>
    <w:rsid w:val="00B80BC2"/>
    <w:rsid w:val="00B85B55"/>
    <w:rsid w:val="00B936EB"/>
    <w:rsid w:val="00B9670F"/>
    <w:rsid w:val="00B97AD7"/>
    <w:rsid w:val="00BA1E00"/>
    <w:rsid w:val="00BB0F44"/>
    <w:rsid w:val="00BB7005"/>
    <w:rsid w:val="00BC6500"/>
    <w:rsid w:val="00BC6AD0"/>
    <w:rsid w:val="00BD2523"/>
    <w:rsid w:val="00BD613A"/>
    <w:rsid w:val="00BE2AAA"/>
    <w:rsid w:val="00BE3A7B"/>
    <w:rsid w:val="00BF5578"/>
    <w:rsid w:val="00BF56D4"/>
    <w:rsid w:val="00BF616D"/>
    <w:rsid w:val="00BF6910"/>
    <w:rsid w:val="00C02588"/>
    <w:rsid w:val="00C0759E"/>
    <w:rsid w:val="00C13185"/>
    <w:rsid w:val="00C17C72"/>
    <w:rsid w:val="00C17DDA"/>
    <w:rsid w:val="00C20686"/>
    <w:rsid w:val="00C27BBE"/>
    <w:rsid w:val="00C31BB7"/>
    <w:rsid w:val="00C343E0"/>
    <w:rsid w:val="00C36C39"/>
    <w:rsid w:val="00C44781"/>
    <w:rsid w:val="00C506E7"/>
    <w:rsid w:val="00C51812"/>
    <w:rsid w:val="00C52DA0"/>
    <w:rsid w:val="00C5412A"/>
    <w:rsid w:val="00C5504F"/>
    <w:rsid w:val="00C635EC"/>
    <w:rsid w:val="00C74028"/>
    <w:rsid w:val="00C75099"/>
    <w:rsid w:val="00C75238"/>
    <w:rsid w:val="00C773A9"/>
    <w:rsid w:val="00C81779"/>
    <w:rsid w:val="00C853A3"/>
    <w:rsid w:val="00C9231A"/>
    <w:rsid w:val="00C92559"/>
    <w:rsid w:val="00C92EE8"/>
    <w:rsid w:val="00C95FA1"/>
    <w:rsid w:val="00C97983"/>
    <w:rsid w:val="00CA005C"/>
    <w:rsid w:val="00CA0244"/>
    <w:rsid w:val="00CB3504"/>
    <w:rsid w:val="00CC6DA8"/>
    <w:rsid w:val="00CC6DCF"/>
    <w:rsid w:val="00CD219B"/>
    <w:rsid w:val="00CD257D"/>
    <w:rsid w:val="00CD671D"/>
    <w:rsid w:val="00CE1CDF"/>
    <w:rsid w:val="00CE4FF3"/>
    <w:rsid w:val="00CF0779"/>
    <w:rsid w:val="00CF6193"/>
    <w:rsid w:val="00D06436"/>
    <w:rsid w:val="00D10AC5"/>
    <w:rsid w:val="00D400E4"/>
    <w:rsid w:val="00D500F4"/>
    <w:rsid w:val="00D60DF3"/>
    <w:rsid w:val="00D65E56"/>
    <w:rsid w:val="00D7153E"/>
    <w:rsid w:val="00D71718"/>
    <w:rsid w:val="00D73BC8"/>
    <w:rsid w:val="00D814C7"/>
    <w:rsid w:val="00D8389B"/>
    <w:rsid w:val="00D87838"/>
    <w:rsid w:val="00D90360"/>
    <w:rsid w:val="00D92787"/>
    <w:rsid w:val="00DA39A5"/>
    <w:rsid w:val="00DA7E65"/>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2584E"/>
    <w:rsid w:val="00E25BF8"/>
    <w:rsid w:val="00E25D8B"/>
    <w:rsid w:val="00E3045E"/>
    <w:rsid w:val="00E33EDB"/>
    <w:rsid w:val="00E37AAA"/>
    <w:rsid w:val="00E40FF7"/>
    <w:rsid w:val="00E422B6"/>
    <w:rsid w:val="00E701DF"/>
    <w:rsid w:val="00E74568"/>
    <w:rsid w:val="00E82443"/>
    <w:rsid w:val="00E851E9"/>
    <w:rsid w:val="00E85BF3"/>
    <w:rsid w:val="00E86388"/>
    <w:rsid w:val="00E93574"/>
    <w:rsid w:val="00E93BAC"/>
    <w:rsid w:val="00E952E9"/>
    <w:rsid w:val="00EA69DD"/>
    <w:rsid w:val="00EC0B94"/>
    <w:rsid w:val="00EC1BEE"/>
    <w:rsid w:val="00EC5741"/>
    <w:rsid w:val="00ED0315"/>
    <w:rsid w:val="00ED09A4"/>
    <w:rsid w:val="00EE52AA"/>
    <w:rsid w:val="00EE6CA5"/>
    <w:rsid w:val="00EE7055"/>
    <w:rsid w:val="00EF5C57"/>
    <w:rsid w:val="00F10D1B"/>
    <w:rsid w:val="00F1119D"/>
    <w:rsid w:val="00F2358E"/>
    <w:rsid w:val="00F24A54"/>
    <w:rsid w:val="00F27E11"/>
    <w:rsid w:val="00F30B66"/>
    <w:rsid w:val="00F357AC"/>
    <w:rsid w:val="00F43B2F"/>
    <w:rsid w:val="00F56FE7"/>
    <w:rsid w:val="00F62CB7"/>
    <w:rsid w:val="00F67C7B"/>
    <w:rsid w:val="00F76904"/>
    <w:rsid w:val="00F83A53"/>
    <w:rsid w:val="00F86DB4"/>
    <w:rsid w:val="00F87213"/>
    <w:rsid w:val="00F93935"/>
    <w:rsid w:val="00F94DD5"/>
    <w:rsid w:val="00F97035"/>
    <w:rsid w:val="00FA2F14"/>
    <w:rsid w:val="00FA3203"/>
    <w:rsid w:val="00FA3D49"/>
    <w:rsid w:val="00FA47BE"/>
    <w:rsid w:val="00FA5AFD"/>
    <w:rsid w:val="00FB10B0"/>
    <w:rsid w:val="00FB28D7"/>
    <w:rsid w:val="00FB2AAE"/>
    <w:rsid w:val="00FC006C"/>
    <w:rsid w:val="00FC34D2"/>
    <w:rsid w:val="00FD2606"/>
    <w:rsid w:val="00FE7E82"/>
    <w:rsid w:val="00FF12BD"/>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99A25"/>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9012B"/>
    <w:rPr>
      <w:color w:val="605E5C"/>
      <w:shd w:val="clear" w:color="auto" w:fill="E1DFDD"/>
    </w:rPr>
  </w:style>
  <w:style w:type="character" w:customStyle="1" w:styleId="tm101">
    <w:name w:val="tm101"/>
    <w:basedOn w:val="Absatz-Standardschriftart"/>
    <w:rsid w:val="00C17C72"/>
    <w:rPr>
      <w:rFonts w:ascii="Arial" w:hAnsi="Arial" w:cs="Arial" w:hint="default"/>
      <w:i/>
      <w:iCs/>
      <w:sz w:val="28"/>
      <w:szCs w:val="28"/>
    </w:rPr>
  </w:style>
  <w:style w:type="paragraph" w:customStyle="1" w:styleId="Standard1">
    <w:name w:val="Standard1"/>
    <w:basedOn w:val="Standard"/>
    <w:rsid w:val="00C17C72"/>
    <w:pPr>
      <w:spacing w:before="20" w:after="20"/>
    </w:pPr>
    <w:rPr>
      <w:rFonts w:ascii="Times New Roman" w:hAnsi="Times New Roman" w:cs="Times New Roman"/>
      <w:color w:val="000000"/>
      <w:sz w:val="20"/>
      <w:szCs w:val="20"/>
      <w:lang w:eastAsia="ko-KR"/>
    </w:rPr>
  </w:style>
  <w:style w:type="paragraph" w:customStyle="1" w:styleId="tm14">
    <w:name w:val="tm14"/>
    <w:basedOn w:val="Standard"/>
    <w:rsid w:val="00C17C72"/>
    <w:pPr>
      <w:spacing w:before="20" w:after="20"/>
      <w:jc w:val="both"/>
    </w:pPr>
    <w:rPr>
      <w:b/>
      <w:bCs/>
      <w:color w:val="000000"/>
      <w:sz w:val="24"/>
      <w:szCs w:val="24"/>
      <w:lang w:eastAsia="ko-KR"/>
    </w:rPr>
  </w:style>
  <w:style w:type="paragraph" w:customStyle="1" w:styleId="tm18">
    <w:name w:val="tm18"/>
    <w:basedOn w:val="Standard"/>
    <w:rsid w:val="00C17C72"/>
    <w:pPr>
      <w:spacing w:before="20" w:after="20"/>
      <w:jc w:val="both"/>
    </w:pPr>
    <w:rPr>
      <w:rFonts w:ascii="Times New Roman" w:hAnsi="Times New Roman" w:cs="Times New Roman"/>
      <w:color w:val="000000"/>
      <w:sz w:val="20"/>
      <w:szCs w:val="20"/>
      <w:lang w:eastAsia="ko-KR"/>
    </w:rPr>
  </w:style>
  <w:style w:type="paragraph" w:customStyle="1" w:styleId="tm20">
    <w:name w:val="tm20"/>
    <w:basedOn w:val="Standard"/>
    <w:rsid w:val="00C17C72"/>
    <w:pPr>
      <w:spacing w:before="20" w:after="20"/>
    </w:pPr>
    <w:rPr>
      <w:b/>
      <w:bCs/>
      <w:color w:val="000000"/>
      <w:sz w:val="24"/>
      <w:szCs w:val="24"/>
      <w:lang w:eastAsia="ko-KR"/>
    </w:rPr>
  </w:style>
  <w:style w:type="paragraph" w:customStyle="1" w:styleId="tm23">
    <w:name w:val="tm23"/>
    <w:basedOn w:val="Standard"/>
    <w:rsid w:val="00C17C72"/>
    <w:pPr>
      <w:spacing w:before="20" w:after="20"/>
      <w:ind w:left="570" w:hanging="360"/>
    </w:pPr>
    <w:rPr>
      <w:rFonts w:ascii="Garamond" w:hAnsi="Garamond" w:cs="Times New Roman"/>
      <w:color w:val="000000"/>
      <w:sz w:val="24"/>
      <w:szCs w:val="24"/>
      <w:lang w:eastAsia="ko-KR"/>
    </w:rPr>
  </w:style>
  <w:style w:type="paragraph" w:customStyle="1" w:styleId="tm28">
    <w:name w:val="tm28"/>
    <w:basedOn w:val="Standard"/>
    <w:rsid w:val="00C17C72"/>
    <w:pPr>
      <w:spacing w:before="20" w:after="20"/>
      <w:ind w:left="720" w:hanging="360"/>
      <w:jc w:val="both"/>
    </w:pPr>
    <w:rPr>
      <w:b/>
      <w:bCs/>
      <w:color w:val="000000"/>
      <w:sz w:val="24"/>
      <w:szCs w:val="24"/>
      <w:lang w:eastAsia="ko-KR"/>
    </w:rPr>
  </w:style>
  <w:style w:type="character" w:customStyle="1" w:styleId="tm91">
    <w:name w:val="tm91"/>
    <w:basedOn w:val="Absatz-Standardschriftart"/>
    <w:rsid w:val="00C17C72"/>
    <w:rPr>
      <w:rFonts w:ascii="Arial" w:hAnsi="Arial" w:cs="Arial" w:hint="default"/>
      <w:sz w:val="22"/>
      <w:szCs w:val="22"/>
    </w:rPr>
  </w:style>
  <w:style w:type="character" w:customStyle="1" w:styleId="tm151">
    <w:name w:val="tm151"/>
    <w:basedOn w:val="Absatz-Standardschriftart"/>
    <w:rsid w:val="00C17C72"/>
    <w:rPr>
      <w:b w:val="0"/>
      <w:bCs w:val="0"/>
      <w:sz w:val="22"/>
      <w:szCs w:val="22"/>
    </w:rPr>
  </w:style>
  <w:style w:type="character" w:customStyle="1" w:styleId="tm211">
    <w:name w:val="tm211"/>
    <w:basedOn w:val="Absatz-Standardschriftart"/>
    <w:rsid w:val="00C17C72"/>
    <w:rPr>
      <w:sz w:val="22"/>
      <w:szCs w:val="22"/>
    </w:rPr>
  </w:style>
  <w:style w:type="character" w:customStyle="1" w:styleId="tm241">
    <w:name w:val="tm241"/>
    <w:basedOn w:val="Absatz-Standardschriftart"/>
    <w:rsid w:val="00C17C72"/>
    <w:rPr>
      <w:rFonts w:ascii="Arial" w:hAnsi="Arial" w:cs="Arial" w:hint="default"/>
      <w:sz w:val="20"/>
      <w:szCs w:val="20"/>
    </w:rPr>
  </w:style>
  <w:style w:type="character" w:customStyle="1" w:styleId="tm261">
    <w:name w:val="tm261"/>
    <w:basedOn w:val="Absatz-Standardschriftart"/>
    <w:rsid w:val="00C17C72"/>
    <w:rPr>
      <w:rFonts w:ascii="Arial" w:hAnsi="Arial" w:cs="Arial" w:hint="default"/>
      <w:b/>
      <w:bCs/>
      <w:sz w:val="20"/>
      <w:szCs w:val="20"/>
    </w:rPr>
  </w:style>
  <w:style w:type="character" w:customStyle="1" w:styleId="tm311">
    <w:name w:val="tm311"/>
    <w:basedOn w:val="Absatz-Standardschriftart"/>
    <w:rsid w:val="00C17C72"/>
    <w:rPr>
      <w:b w:val="0"/>
      <w:bCs w:val="0"/>
      <w:sz w:val="20"/>
      <w:szCs w:val="20"/>
    </w:rPr>
  </w:style>
  <w:style w:type="character" w:customStyle="1" w:styleId="tm321">
    <w:name w:val="tm321"/>
    <w:basedOn w:val="Absatz-Standardschriftart"/>
    <w:rsid w:val="00C17C72"/>
    <w:rPr>
      <w:sz w:val="20"/>
      <w:szCs w:val="20"/>
    </w:rPr>
  </w:style>
  <w:style w:type="paragraph" w:customStyle="1" w:styleId="tm34">
    <w:name w:val="tm34"/>
    <w:basedOn w:val="Standard"/>
    <w:rsid w:val="00C17C72"/>
    <w:pPr>
      <w:spacing w:before="20" w:after="20"/>
      <w:jc w:val="both"/>
    </w:pPr>
    <w:rPr>
      <w:rFonts w:ascii="Times New Roman" w:hAnsi="Times New Roman" w:cs="Times New Roman"/>
      <w:color w:val="000000"/>
      <w:sz w:val="20"/>
      <w:szCs w:val="20"/>
      <w:lang w:eastAsia="ko-KR"/>
    </w:rPr>
  </w:style>
  <w:style w:type="character" w:customStyle="1" w:styleId="tm351">
    <w:name w:val="tm351"/>
    <w:basedOn w:val="Absatz-Standardschriftart"/>
    <w:rsid w:val="00C17C72"/>
    <w:rPr>
      <w:rFonts w:ascii="Arial" w:hAnsi="Arial" w:cs="Arial" w:hint="default"/>
      <w:b/>
      <w:bCs/>
      <w:sz w:val="22"/>
      <w:szCs w:val="22"/>
    </w:rPr>
  </w:style>
  <w:style w:type="paragraph" w:customStyle="1" w:styleId="tm37">
    <w:name w:val="tm37"/>
    <w:basedOn w:val="Standard"/>
    <w:rsid w:val="00C17C72"/>
    <w:pPr>
      <w:spacing w:before="20" w:after="20"/>
      <w:ind w:left="570"/>
    </w:pPr>
    <w:rPr>
      <w:rFonts w:ascii="Garamond" w:hAnsi="Garamond" w:cs="Times New Roman"/>
      <w:color w:val="000000"/>
      <w:sz w:val="24"/>
      <w:szCs w:val="24"/>
      <w:lang w:eastAsia="ko-KR"/>
    </w:rPr>
  </w:style>
  <w:style w:type="paragraph" w:customStyle="1" w:styleId="tm39">
    <w:name w:val="tm39"/>
    <w:basedOn w:val="Standard"/>
    <w:rsid w:val="00C17C72"/>
    <w:pPr>
      <w:spacing w:before="20" w:after="20"/>
      <w:ind w:left="1440"/>
      <w:jc w:val="both"/>
    </w:pPr>
    <w:rPr>
      <w:rFonts w:ascii="Garamond" w:hAnsi="Garamond" w:cs="Times New Roman"/>
      <w:color w:val="000000"/>
      <w:sz w:val="24"/>
      <w:szCs w:val="24"/>
      <w:lang w:eastAsia="ko-KR"/>
    </w:rPr>
  </w:style>
  <w:style w:type="paragraph" w:customStyle="1" w:styleId="tm42">
    <w:name w:val="tm42"/>
    <w:basedOn w:val="Standard"/>
    <w:rsid w:val="00C17C72"/>
    <w:pPr>
      <w:spacing w:before="20" w:after="20"/>
      <w:ind w:left="720" w:hanging="360"/>
    </w:pPr>
    <w:rPr>
      <w:rFonts w:ascii="Garamond" w:hAnsi="Garamond" w:cs="Times New Roman"/>
      <w:color w:val="000000"/>
      <w:sz w:val="24"/>
      <w:szCs w:val="24"/>
      <w:lang w:eastAsia="ko-KR"/>
    </w:rPr>
  </w:style>
  <w:style w:type="character" w:customStyle="1" w:styleId="tm401">
    <w:name w:val="tm401"/>
    <w:basedOn w:val="Absatz-Standardschriftart"/>
    <w:rsid w:val="00C17C72"/>
    <w:rPr>
      <w:b/>
      <w:bCs/>
      <w:sz w:val="22"/>
      <w:szCs w:val="22"/>
    </w:rPr>
  </w:style>
  <w:style w:type="character" w:customStyle="1" w:styleId="tm431">
    <w:name w:val="tm431"/>
    <w:basedOn w:val="Absatz-Standardschriftart"/>
    <w:rsid w:val="00C17C72"/>
    <w:rPr>
      <w:rFonts w:ascii="Arial" w:hAnsi="Arial" w:cs="Arial" w:hint="default"/>
      <w:color w:val="0000FF"/>
      <w:sz w:val="20"/>
      <w:szCs w:val="20"/>
    </w:rPr>
  </w:style>
  <w:style w:type="character" w:customStyle="1" w:styleId="tm441">
    <w:name w:val="tm441"/>
    <w:basedOn w:val="Absatz-Standardschriftart"/>
    <w:rsid w:val="00C17C72"/>
    <w:rPr>
      <w:rFonts w:ascii="Arial" w:hAnsi="Arial" w:cs="Arial" w:hint="default"/>
    </w:rPr>
  </w:style>
  <w:style w:type="character" w:customStyle="1" w:styleId="tm451">
    <w:name w:val="tm451"/>
    <w:basedOn w:val="Absatz-Standardschriftart"/>
    <w:rsid w:val="00C17C72"/>
    <w:rPr>
      <w:rFonts w:ascii="Arial" w:hAnsi="Arial" w:cs="Arial" w:hint="default"/>
      <w:b/>
      <w:bCs/>
    </w:rPr>
  </w:style>
  <w:style w:type="paragraph" w:customStyle="1" w:styleId="Standard2">
    <w:name w:val="Standard2"/>
    <w:basedOn w:val="Standard"/>
    <w:rsid w:val="00B00474"/>
    <w:pPr>
      <w:spacing w:before="20" w:after="20"/>
    </w:pPr>
    <w:rPr>
      <w:rFonts w:ascii="Times New Roman" w:hAnsi="Times New Roman" w:cs="Times New Roman"/>
      <w:color w:val="000000"/>
      <w:sz w:val="20"/>
      <w:szCs w:val="20"/>
      <w:lang w:eastAsia="ko-KR"/>
    </w:rPr>
  </w:style>
  <w:style w:type="paragraph" w:customStyle="1" w:styleId="tm38">
    <w:name w:val="tm38"/>
    <w:basedOn w:val="Standard"/>
    <w:rsid w:val="00B00474"/>
    <w:pPr>
      <w:spacing w:before="20" w:after="20"/>
      <w:ind w:left="720" w:hanging="360"/>
    </w:pPr>
    <w:rPr>
      <w:rFonts w:ascii="Garamond" w:hAnsi="Garamond" w:cs="Times New Roman"/>
      <w:color w:val="000000"/>
      <w:sz w:val="24"/>
      <w:szCs w:val="24"/>
      <w:lang w:eastAsia="ko-KR"/>
    </w:rPr>
  </w:style>
  <w:style w:type="paragraph" w:customStyle="1" w:styleId="tm41">
    <w:name w:val="tm41"/>
    <w:basedOn w:val="Standard"/>
    <w:rsid w:val="00B00474"/>
    <w:pPr>
      <w:spacing w:before="20" w:after="20"/>
      <w:ind w:left="720" w:hanging="360"/>
      <w:jc w:val="both"/>
    </w:pPr>
    <w:rPr>
      <w:b/>
      <w:bCs/>
      <w:color w:val="000000"/>
      <w:sz w:val="24"/>
      <w:szCs w:val="24"/>
      <w:lang w:eastAsia="ko-KR"/>
    </w:rPr>
  </w:style>
  <w:style w:type="paragraph" w:customStyle="1" w:styleId="tm46">
    <w:name w:val="tm46"/>
    <w:basedOn w:val="Standard"/>
    <w:rsid w:val="00B00474"/>
    <w:pPr>
      <w:spacing w:before="20" w:after="20"/>
      <w:jc w:val="both"/>
    </w:pPr>
    <w:rPr>
      <w:rFonts w:ascii="Times New Roman" w:hAnsi="Times New Roman" w:cs="Times New Roman"/>
      <w:color w:val="000000"/>
      <w:sz w:val="20"/>
      <w:szCs w:val="20"/>
      <w:lang w:eastAsia="ko-KR"/>
    </w:rPr>
  </w:style>
  <w:style w:type="character" w:customStyle="1" w:styleId="tm911">
    <w:name w:val="tm911"/>
    <w:rsid w:val="00B00474"/>
    <w:rPr>
      <w:rFonts w:ascii="Arial" w:hAnsi="Arial" w:cs="Arial" w:hint="default"/>
      <w:sz w:val="22"/>
      <w:szCs w:val="22"/>
    </w:rPr>
  </w:style>
  <w:style w:type="character" w:customStyle="1" w:styleId="tm1011">
    <w:name w:val="tm1011"/>
    <w:rsid w:val="00B00474"/>
    <w:rPr>
      <w:rFonts w:ascii="Arial" w:hAnsi="Arial" w:cs="Arial" w:hint="default"/>
      <w:i/>
      <w:iCs/>
      <w:sz w:val="28"/>
      <w:szCs w:val="28"/>
    </w:rPr>
  </w:style>
  <w:style w:type="character" w:customStyle="1" w:styleId="tm361">
    <w:name w:val="tm361"/>
    <w:rsid w:val="00B00474"/>
    <w:rPr>
      <w:rFonts w:ascii="Calibri" w:hAnsi="Calibri" w:cs="Calibri" w:hint="default"/>
      <w:sz w:val="22"/>
      <w:szCs w:val="22"/>
    </w:rPr>
  </w:style>
  <w:style w:type="character" w:customStyle="1" w:styleId="tm2111">
    <w:name w:val="tm2111"/>
    <w:rsid w:val="00B00474"/>
    <w:rPr>
      <w:sz w:val="22"/>
      <w:szCs w:val="22"/>
    </w:rPr>
  </w:style>
  <w:style w:type="character" w:customStyle="1" w:styleId="tm391">
    <w:name w:val="tm391"/>
    <w:rsid w:val="00B00474"/>
    <w:rPr>
      <w:rFonts w:ascii="Arial" w:hAnsi="Arial" w:cs="Arial" w:hint="default"/>
      <w:b w:val="0"/>
      <w:bCs w:val="0"/>
      <w:color w:val="000000"/>
      <w:sz w:val="20"/>
      <w:szCs w:val="20"/>
      <w:bdr w:val="none" w:sz="0" w:space="0" w:color="auto" w:frame="1"/>
    </w:rPr>
  </w:style>
  <w:style w:type="character" w:customStyle="1" w:styleId="tm402">
    <w:name w:val="tm402"/>
    <w:rsid w:val="00B00474"/>
    <w:rPr>
      <w:rFonts w:ascii="Symbol" w:hAnsi="Symbol" w:hint="default"/>
      <w:sz w:val="20"/>
      <w:szCs w:val="20"/>
    </w:rPr>
  </w:style>
  <w:style w:type="character" w:customStyle="1" w:styleId="tm2611">
    <w:name w:val="tm2611"/>
    <w:rsid w:val="00B00474"/>
    <w:rPr>
      <w:rFonts w:ascii="Arial" w:hAnsi="Arial" w:cs="Arial" w:hint="default"/>
      <w:b/>
      <w:bCs/>
    </w:rPr>
  </w:style>
  <w:style w:type="character" w:customStyle="1" w:styleId="tm2411">
    <w:name w:val="tm2411"/>
    <w:rsid w:val="00B00474"/>
    <w:rPr>
      <w:rFonts w:ascii="Arial" w:hAnsi="Arial" w:cs="Arial" w:hint="default"/>
    </w:rPr>
  </w:style>
  <w:style w:type="character" w:customStyle="1" w:styleId="tm442">
    <w:name w:val="tm442"/>
    <w:rsid w:val="00B00474"/>
    <w:rPr>
      <w:b w:val="0"/>
      <w:bCs w:val="0"/>
      <w:sz w:val="20"/>
      <w:szCs w:val="20"/>
    </w:rPr>
  </w:style>
  <w:style w:type="character" w:customStyle="1" w:styleId="tm452">
    <w:name w:val="tm452"/>
    <w:rsid w:val="00B00474"/>
    <w:rPr>
      <w:b w:val="0"/>
      <w:bCs w:val="0"/>
      <w:i/>
      <w:iCs/>
      <w:sz w:val="22"/>
      <w:szCs w:val="22"/>
    </w:rPr>
  </w:style>
  <w:style w:type="character" w:customStyle="1" w:styleId="tm3511">
    <w:name w:val="tm3511"/>
    <w:rsid w:val="00B00474"/>
    <w:rPr>
      <w:rFonts w:ascii="Arial" w:hAnsi="Arial" w:cs="Arial" w:hint="default"/>
      <w:b/>
      <w:bCs/>
      <w:sz w:val="22"/>
      <w:szCs w:val="22"/>
    </w:rPr>
  </w:style>
  <w:style w:type="character" w:customStyle="1" w:styleId="tm471">
    <w:name w:val="tm471"/>
    <w:rsid w:val="00B00474"/>
    <w:rPr>
      <w:rFonts w:ascii="Arial" w:hAnsi="Arial" w:cs="Arial" w:hint="default"/>
      <w:i/>
      <w:iCs/>
      <w:sz w:val="22"/>
      <w:szCs w:val="22"/>
    </w:rPr>
  </w:style>
  <w:style w:type="character" w:customStyle="1" w:styleId="tm4011">
    <w:name w:val="tm4011"/>
    <w:rsid w:val="00B00474"/>
    <w:rPr>
      <w:b/>
      <w:bCs/>
      <w:sz w:val="22"/>
      <w:szCs w:val="22"/>
    </w:rPr>
  </w:style>
  <w:style w:type="paragraph" w:customStyle="1" w:styleId="tm7">
    <w:name w:val="tm7"/>
    <w:basedOn w:val="Standard"/>
    <w:rsid w:val="00B00474"/>
    <w:pPr>
      <w:spacing w:before="20" w:after="20"/>
      <w:jc w:val="both"/>
    </w:pPr>
    <w:rPr>
      <w:rFonts w:ascii="Times New Roman" w:hAnsi="Times New Roman" w:cs="Times New Roman"/>
      <w:color w:val="000000"/>
      <w:sz w:val="20"/>
      <w:szCs w:val="20"/>
      <w:lang w:eastAsia="ko-KR"/>
    </w:rPr>
  </w:style>
  <w:style w:type="character" w:customStyle="1" w:styleId="tm81">
    <w:name w:val="tm81"/>
    <w:rsid w:val="00B0047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365">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22682538">
      <w:bodyDiv w:val="1"/>
      <w:marLeft w:val="0"/>
      <w:marRight w:val="0"/>
      <w:marTop w:val="0"/>
      <w:marBottom w:val="0"/>
      <w:divBdr>
        <w:top w:val="none" w:sz="0" w:space="0" w:color="auto"/>
        <w:left w:val="none" w:sz="0" w:space="0" w:color="auto"/>
        <w:bottom w:val="none" w:sz="0" w:space="0" w:color="auto"/>
        <w:right w:val="none" w:sz="0" w:space="0" w:color="auto"/>
      </w:divBdr>
      <w:divsChild>
        <w:div w:id="588195897">
          <w:marLeft w:val="0"/>
          <w:marRight w:val="0"/>
          <w:marTop w:val="0"/>
          <w:marBottom w:val="0"/>
          <w:divBdr>
            <w:top w:val="none" w:sz="0" w:space="0" w:color="auto"/>
            <w:left w:val="none" w:sz="0" w:space="0" w:color="auto"/>
            <w:bottom w:val="none" w:sz="0" w:space="0" w:color="auto"/>
            <w:right w:val="none" w:sz="0" w:space="0" w:color="auto"/>
          </w:divBdr>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485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lzburg.info/statistik" TargetMode="External"/><Relationship Id="rId4" Type="http://schemas.openxmlformats.org/officeDocument/2006/relationships/settings" Target="settings.xml"/><Relationship Id="rId9" Type="http://schemas.openxmlformats.org/officeDocument/2006/relationships/hyperlink" Target="http://www.salzburg.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BCB7-0CCA-4E26-9EEC-849C0E49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1449</Words>
  <Characters>9133</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Überschrift</vt:lpstr>
      <vt:lpstr>Überschrift</vt:lpstr>
    </vt:vector>
  </TitlesOfParts>
  <Company>TSG</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Strauss</cp:lastModifiedBy>
  <cp:revision>4</cp:revision>
  <cp:lastPrinted>2021-04-26T08:11:00Z</cp:lastPrinted>
  <dcterms:created xsi:type="dcterms:W3CDTF">2026-04-30T12:52:00Z</dcterms:created>
  <dcterms:modified xsi:type="dcterms:W3CDTF">2026-04-30T14:01:00Z</dcterms:modified>
</cp:coreProperties>
</file>